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B062D" w14:textId="77777777" w:rsidR="000E18B9" w:rsidRPr="00142817" w:rsidRDefault="000E18B9" w:rsidP="00142817">
      <w:pPr>
        <w:spacing w:after="0" w:line="240" w:lineRule="auto"/>
        <w:jc w:val="center"/>
        <w:rPr>
          <w:rFonts w:ascii="Lato" w:hAnsi="Lato"/>
          <w:b/>
          <w:bCs/>
        </w:rPr>
      </w:pPr>
    </w:p>
    <w:p w14:paraId="26283A14" w14:textId="0BE3FE2F" w:rsidR="00FD16B7" w:rsidRPr="00142817" w:rsidRDefault="000F5DA8" w:rsidP="0054222C">
      <w:pPr>
        <w:spacing w:after="0" w:line="240" w:lineRule="auto"/>
        <w:jc w:val="center"/>
        <w:rPr>
          <w:rFonts w:ascii="Lato" w:hAnsi="Lato"/>
          <w:b/>
          <w:bCs/>
        </w:rPr>
      </w:pPr>
      <w:r w:rsidRPr="00142817">
        <w:rPr>
          <w:rFonts w:ascii="Lato" w:hAnsi="Lato"/>
          <w:b/>
          <w:bCs/>
          <w:noProof/>
        </w:rPr>
        <w:drawing>
          <wp:inline distT="0" distB="0" distL="0" distR="0" wp14:anchorId="6250619D" wp14:editId="077D3037">
            <wp:extent cx="1310640" cy="44269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0114" cy="459401"/>
                    </a:xfrm>
                    <a:prstGeom prst="rect">
                      <a:avLst/>
                    </a:prstGeom>
                    <a:noFill/>
                    <a:ln>
                      <a:noFill/>
                    </a:ln>
                  </pic:spPr>
                </pic:pic>
              </a:graphicData>
            </a:graphic>
          </wp:inline>
        </w:drawing>
      </w:r>
      <w:r w:rsidR="0054222C">
        <w:rPr>
          <w:rFonts w:ascii="Lato" w:hAnsi="Lato"/>
          <w:b/>
          <w:bCs/>
        </w:rPr>
        <w:t xml:space="preserve">   </w:t>
      </w:r>
      <w:r w:rsidR="00142817" w:rsidRPr="00142817">
        <w:rPr>
          <w:rFonts w:ascii="Lato" w:hAnsi="Lato"/>
          <w:noProof/>
        </w:rPr>
        <w:drawing>
          <wp:inline distT="0" distB="0" distL="0" distR="0" wp14:anchorId="509B950A" wp14:editId="6F9FC36F">
            <wp:extent cx="1977125" cy="513080"/>
            <wp:effectExtent l="0" t="0" r="4445" b="1270"/>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12"/>
                    <a:stretch>
                      <a:fillRect/>
                    </a:stretch>
                  </pic:blipFill>
                  <pic:spPr>
                    <a:xfrm>
                      <a:off x="0" y="0"/>
                      <a:ext cx="1997175" cy="518283"/>
                    </a:xfrm>
                    <a:prstGeom prst="rect">
                      <a:avLst/>
                    </a:prstGeom>
                    <a:ln w="12700" cap="flat">
                      <a:noFill/>
                      <a:miter lim="400000"/>
                    </a:ln>
                    <a:effectLst/>
                  </pic:spPr>
                </pic:pic>
              </a:graphicData>
            </a:graphic>
          </wp:inline>
        </w:drawing>
      </w:r>
      <w:r w:rsidR="0054222C">
        <w:rPr>
          <w:rFonts w:ascii="Lato" w:hAnsi="Lato"/>
          <w:b/>
          <w:bCs/>
        </w:rPr>
        <w:t xml:space="preserve">  </w:t>
      </w:r>
      <w:r w:rsidR="00142817" w:rsidRPr="00142817">
        <w:rPr>
          <w:rFonts w:ascii="Lato" w:hAnsi="Lato"/>
          <w:b/>
          <w:bCs/>
          <w:noProof/>
        </w:rPr>
        <w:drawing>
          <wp:inline distT="0" distB="0" distL="0" distR="0" wp14:anchorId="6122BE82" wp14:editId="1CE05037">
            <wp:extent cx="2019300" cy="32086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0420" cy="327397"/>
                    </a:xfrm>
                    <a:prstGeom prst="rect">
                      <a:avLst/>
                    </a:prstGeom>
                    <a:noFill/>
                    <a:ln>
                      <a:noFill/>
                    </a:ln>
                  </pic:spPr>
                </pic:pic>
              </a:graphicData>
            </a:graphic>
          </wp:inline>
        </w:drawing>
      </w:r>
      <w:r w:rsidR="00142817" w:rsidRPr="00142817">
        <w:rPr>
          <w:rFonts w:ascii="Lato" w:hAnsi="Lato"/>
          <w:noProof/>
        </w:rPr>
        <w:drawing>
          <wp:inline distT="0" distB="0" distL="0" distR="0" wp14:anchorId="52DE616B" wp14:editId="32A7982F">
            <wp:extent cx="1188720" cy="591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47" cy="597257"/>
                    </a:xfrm>
                    <a:prstGeom prst="rect">
                      <a:avLst/>
                    </a:prstGeom>
                    <a:noFill/>
                    <a:ln>
                      <a:noFill/>
                    </a:ln>
                  </pic:spPr>
                </pic:pic>
              </a:graphicData>
            </a:graphic>
          </wp:inline>
        </w:drawing>
      </w:r>
      <w:r w:rsidR="0054222C">
        <w:rPr>
          <w:rFonts w:ascii="Lato" w:hAnsi="Lato"/>
          <w:b/>
          <w:bCs/>
        </w:rPr>
        <w:t xml:space="preserve"> </w:t>
      </w:r>
      <w:r w:rsidR="00142817" w:rsidRPr="00142817">
        <w:rPr>
          <w:rFonts w:ascii="Lato" w:hAnsi="Lato"/>
          <w:b/>
          <w:bCs/>
          <w:noProof/>
        </w:rPr>
        <w:drawing>
          <wp:inline distT="0" distB="0" distL="0" distR="0" wp14:anchorId="737A6EBF" wp14:editId="5C909AEE">
            <wp:extent cx="922020" cy="75873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6512" cy="770659"/>
                    </a:xfrm>
                    <a:prstGeom prst="rect">
                      <a:avLst/>
                    </a:prstGeom>
                    <a:noFill/>
                    <a:ln>
                      <a:noFill/>
                    </a:ln>
                  </pic:spPr>
                </pic:pic>
              </a:graphicData>
            </a:graphic>
          </wp:inline>
        </w:drawing>
      </w:r>
      <w:r w:rsidR="0054222C">
        <w:rPr>
          <w:rFonts w:ascii="Lato" w:hAnsi="Lato"/>
          <w:b/>
          <w:bCs/>
        </w:rPr>
        <w:t xml:space="preserve"> </w:t>
      </w:r>
      <w:r w:rsidR="00F80751">
        <w:rPr>
          <w:rFonts w:ascii="Lato" w:hAnsi="Lato"/>
          <w:b/>
          <w:bCs/>
          <w:noProof/>
        </w:rPr>
        <w:drawing>
          <wp:inline distT="0" distB="0" distL="0" distR="0" wp14:anchorId="7E840161" wp14:editId="080F43B9">
            <wp:extent cx="732692" cy="7326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171" cy="748171"/>
                    </a:xfrm>
                    <a:prstGeom prst="rect">
                      <a:avLst/>
                    </a:prstGeom>
                    <a:noFill/>
                    <a:ln>
                      <a:noFill/>
                    </a:ln>
                  </pic:spPr>
                </pic:pic>
              </a:graphicData>
            </a:graphic>
          </wp:inline>
        </w:drawing>
      </w:r>
      <w:r w:rsidR="00F80751">
        <w:rPr>
          <w:rFonts w:ascii="Lato" w:hAnsi="Lato"/>
          <w:b/>
          <w:bCs/>
        </w:rPr>
        <w:t xml:space="preserve">  </w:t>
      </w:r>
      <w:r w:rsidR="00142817" w:rsidRPr="00142817">
        <w:rPr>
          <w:rFonts w:ascii="Lato" w:hAnsi="Lato"/>
          <w:b/>
          <w:bCs/>
          <w:noProof/>
        </w:rPr>
        <w:drawing>
          <wp:inline distT="0" distB="0" distL="0" distR="0" wp14:anchorId="37466DB8" wp14:editId="2B5CA634">
            <wp:extent cx="1104900" cy="35651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8232" cy="373724"/>
                    </a:xfrm>
                    <a:prstGeom prst="rect">
                      <a:avLst/>
                    </a:prstGeom>
                    <a:noFill/>
                    <a:ln>
                      <a:noFill/>
                    </a:ln>
                  </pic:spPr>
                </pic:pic>
              </a:graphicData>
            </a:graphic>
          </wp:inline>
        </w:drawing>
      </w:r>
    </w:p>
    <w:p w14:paraId="1D70701C" w14:textId="4CD67F90" w:rsidR="00FD16B7" w:rsidRPr="00142817" w:rsidRDefault="00FD16B7" w:rsidP="00142817">
      <w:pPr>
        <w:spacing w:after="0" w:line="240" w:lineRule="auto"/>
        <w:jc w:val="center"/>
        <w:rPr>
          <w:rFonts w:ascii="Lato" w:hAnsi="Lato"/>
          <w:b/>
          <w:bCs/>
        </w:rPr>
      </w:pPr>
    </w:p>
    <w:p w14:paraId="428893EF" w14:textId="77777777" w:rsidR="00F001DC" w:rsidRDefault="00F001DC" w:rsidP="00F001DC">
      <w:pPr>
        <w:spacing w:after="0" w:line="240" w:lineRule="auto"/>
        <w:rPr>
          <w:rFonts w:ascii="Lato" w:hAnsi="Lato"/>
          <w:b/>
          <w:bCs/>
          <w:sz w:val="24"/>
          <w:szCs w:val="24"/>
        </w:rPr>
      </w:pPr>
    </w:p>
    <w:p w14:paraId="4C7D5E7A" w14:textId="17340AA2" w:rsidR="00B643EF" w:rsidRPr="00F001DC" w:rsidRDefault="00F001DC" w:rsidP="00F001DC">
      <w:pPr>
        <w:spacing w:after="0" w:line="240" w:lineRule="auto"/>
        <w:rPr>
          <w:rFonts w:ascii="Lato" w:hAnsi="Lato"/>
          <w:b/>
          <w:bCs/>
          <w:sz w:val="24"/>
          <w:szCs w:val="24"/>
        </w:rPr>
      </w:pPr>
      <w:r w:rsidRPr="00F001DC">
        <w:rPr>
          <w:rFonts w:ascii="Lato" w:hAnsi="Lato"/>
          <w:b/>
          <w:bCs/>
          <w:sz w:val="24"/>
          <w:szCs w:val="24"/>
        </w:rPr>
        <w:t>Embargoed Until 00:01 on 25</w:t>
      </w:r>
      <w:r w:rsidRPr="00F001DC">
        <w:rPr>
          <w:rFonts w:ascii="Lato" w:hAnsi="Lato"/>
          <w:b/>
          <w:bCs/>
          <w:sz w:val="24"/>
          <w:szCs w:val="24"/>
          <w:vertAlign w:val="superscript"/>
        </w:rPr>
        <w:t>th</w:t>
      </w:r>
      <w:r w:rsidRPr="00F001DC">
        <w:rPr>
          <w:rFonts w:ascii="Lato" w:hAnsi="Lato"/>
          <w:b/>
          <w:bCs/>
          <w:sz w:val="24"/>
          <w:szCs w:val="24"/>
        </w:rPr>
        <w:t xml:space="preserve"> January </w:t>
      </w:r>
      <w:proofErr w:type="gramStart"/>
      <w:r w:rsidRPr="00F001DC">
        <w:rPr>
          <w:rFonts w:ascii="Lato" w:hAnsi="Lato"/>
          <w:b/>
          <w:bCs/>
          <w:sz w:val="24"/>
          <w:szCs w:val="24"/>
        </w:rPr>
        <w:t>2021</w:t>
      </w:r>
      <w:proofErr w:type="gramEnd"/>
    </w:p>
    <w:p w14:paraId="4B18DC1D" w14:textId="77777777" w:rsidR="00F001DC" w:rsidRDefault="00F001DC" w:rsidP="00142817">
      <w:pPr>
        <w:spacing w:after="0" w:line="240" w:lineRule="auto"/>
        <w:jc w:val="center"/>
        <w:rPr>
          <w:rFonts w:ascii="Lato" w:hAnsi="Lato"/>
          <w:b/>
          <w:bCs/>
          <w:sz w:val="32"/>
          <w:szCs w:val="32"/>
        </w:rPr>
      </w:pPr>
    </w:p>
    <w:p w14:paraId="18E8F53E" w14:textId="5F5B4BF2" w:rsidR="000F5DA8" w:rsidRPr="00B643EF" w:rsidRDefault="00C44087" w:rsidP="00142817">
      <w:pPr>
        <w:spacing w:after="0" w:line="240" w:lineRule="auto"/>
        <w:jc w:val="center"/>
        <w:rPr>
          <w:rFonts w:ascii="Lato" w:hAnsi="Lato"/>
          <w:b/>
          <w:bCs/>
          <w:sz w:val="32"/>
          <w:szCs w:val="32"/>
        </w:rPr>
      </w:pPr>
      <w:r w:rsidRPr="00B643EF">
        <w:rPr>
          <w:rFonts w:ascii="Lato" w:hAnsi="Lato"/>
          <w:b/>
          <w:bCs/>
          <w:sz w:val="32"/>
          <w:szCs w:val="32"/>
        </w:rPr>
        <w:t xml:space="preserve">Government says </w:t>
      </w:r>
      <w:r w:rsidR="000F5DA8" w:rsidRPr="00B643EF">
        <w:rPr>
          <w:rFonts w:ascii="Lato" w:hAnsi="Lato"/>
          <w:b/>
          <w:bCs/>
          <w:sz w:val="32"/>
          <w:szCs w:val="32"/>
        </w:rPr>
        <w:t>lap dancing</w:t>
      </w:r>
      <w:r w:rsidRPr="00B643EF">
        <w:rPr>
          <w:rFonts w:ascii="Lato" w:hAnsi="Lato"/>
          <w:b/>
          <w:bCs/>
          <w:sz w:val="32"/>
          <w:szCs w:val="32"/>
        </w:rPr>
        <w:t xml:space="preserve"> clubs are worth </w:t>
      </w:r>
      <w:proofErr w:type="gramStart"/>
      <w:r w:rsidRPr="00B643EF">
        <w:rPr>
          <w:rFonts w:ascii="Lato" w:hAnsi="Lato"/>
          <w:b/>
          <w:bCs/>
          <w:sz w:val="32"/>
          <w:szCs w:val="32"/>
        </w:rPr>
        <w:t>saving</w:t>
      </w:r>
      <w:proofErr w:type="gramEnd"/>
      <w:r w:rsidRPr="00B643EF">
        <w:rPr>
          <w:rFonts w:ascii="Lato" w:hAnsi="Lato"/>
          <w:b/>
          <w:bCs/>
          <w:sz w:val="32"/>
          <w:szCs w:val="32"/>
        </w:rPr>
        <w:t xml:space="preserve"> </w:t>
      </w:r>
    </w:p>
    <w:p w14:paraId="5BE883AA" w14:textId="009E46D1" w:rsidR="00205490" w:rsidRDefault="00C44087" w:rsidP="00142817">
      <w:pPr>
        <w:spacing w:after="0" w:line="240" w:lineRule="auto"/>
        <w:jc w:val="center"/>
        <w:rPr>
          <w:rFonts w:ascii="Lato" w:hAnsi="Lato"/>
          <w:b/>
          <w:bCs/>
          <w:sz w:val="32"/>
          <w:szCs w:val="32"/>
        </w:rPr>
      </w:pPr>
      <w:r w:rsidRPr="00B643EF">
        <w:rPr>
          <w:rFonts w:ascii="Lato" w:hAnsi="Lato"/>
          <w:b/>
          <w:bCs/>
          <w:sz w:val="32"/>
          <w:szCs w:val="32"/>
        </w:rPr>
        <w:t xml:space="preserve">but </w:t>
      </w:r>
      <w:r w:rsidR="00815782" w:rsidRPr="00B643EF">
        <w:rPr>
          <w:rFonts w:ascii="Lato" w:hAnsi="Lato"/>
          <w:b/>
          <w:bCs/>
          <w:sz w:val="32"/>
          <w:szCs w:val="32"/>
        </w:rPr>
        <w:t xml:space="preserve">inbound </w:t>
      </w:r>
      <w:r w:rsidRPr="00B643EF">
        <w:rPr>
          <w:rFonts w:ascii="Lato" w:hAnsi="Lato"/>
          <w:b/>
          <w:bCs/>
          <w:sz w:val="32"/>
          <w:szCs w:val="32"/>
        </w:rPr>
        <w:t xml:space="preserve">tourism </w:t>
      </w:r>
      <w:proofErr w:type="gramStart"/>
      <w:r w:rsidRPr="00B643EF">
        <w:rPr>
          <w:rFonts w:ascii="Lato" w:hAnsi="Lato"/>
          <w:b/>
          <w:bCs/>
          <w:sz w:val="32"/>
          <w:szCs w:val="32"/>
        </w:rPr>
        <w:t>isn’t</w:t>
      </w:r>
      <w:proofErr w:type="gramEnd"/>
    </w:p>
    <w:p w14:paraId="530F60E5" w14:textId="77777777" w:rsidR="00B643EF" w:rsidRPr="00B643EF" w:rsidRDefault="00B643EF" w:rsidP="00142817">
      <w:pPr>
        <w:spacing w:after="0" w:line="240" w:lineRule="auto"/>
        <w:jc w:val="center"/>
        <w:rPr>
          <w:rFonts w:ascii="Lato" w:hAnsi="Lato"/>
          <w:b/>
          <w:bCs/>
          <w:sz w:val="32"/>
          <w:szCs w:val="32"/>
        </w:rPr>
      </w:pPr>
    </w:p>
    <w:p w14:paraId="2C16F73F" w14:textId="77777777" w:rsidR="00272397" w:rsidRPr="00142817" w:rsidRDefault="00272397" w:rsidP="00142817">
      <w:pPr>
        <w:spacing w:after="0" w:line="240" w:lineRule="auto"/>
        <w:jc w:val="center"/>
        <w:rPr>
          <w:rFonts w:ascii="Lato" w:hAnsi="Lato"/>
          <w:b/>
          <w:bCs/>
        </w:rPr>
      </w:pPr>
    </w:p>
    <w:p w14:paraId="25A9C482" w14:textId="33111F7C" w:rsidR="00FE6B1D" w:rsidRPr="00142817" w:rsidRDefault="00B643EF" w:rsidP="00142817">
      <w:pPr>
        <w:spacing w:after="0" w:line="240" w:lineRule="auto"/>
        <w:jc w:val="both"/>
        <w:rPr>
          <w:rFonts w:ascii="Lato" w:hAnsi="Lato"/>
        </w:rPr>
      </w:pPr>
      <w:r>
        <w:rPr>
          <w:rFonts w:ascii="Lato" w:hAnsi="Lato"/>
          <w:b/>
          <w:bCs/>
        </w:rPr>
        <w:t>Monday 25 January</w:t>
      </w:r>
      <w:r w:rsidR="00F074ED" w:rsidRPr="00142817">
        <w:rPr>
          <w:rFonts w:ascii="Lato" w:hAnsi="Lato"/>
          <w:b/>
          <w:bCs/>
        </w:rPr>
        <w:t xml:space="preserve"> 2021</w:t>
      </w:r>
      <w:r w:rsidR="007608D5" w:rsidRPr="00142817">
        <w:rPr>
          <w:rFonts w:ascii="Lato" w:hAnsi="Lato"/>
          <w:b/>
          <w:bCs/>
        </w:rPr>
        <w:t xml:space="preserve"> </w:t>
      </w:r>
      <w:r w:rsidR="007608D5" w:rsidRPr="00142817">
        <w:rPr>
          <w:rFonts w:ascii="Lato" w:hAnsi="Lato"/>
        </w:rPr>
        <w:t>–</w:t>
      </w:r>
      <w:r w:rsidR="00F074ED" w:rsidRPr="00142817">
        <w:rPr>
          <w:rFonts w:ascii="Lato" w:hAnsi="Lato"/>
        </w:rPr>
        <w:t xml:space="preserve"> </w:t>
      </w:r>
      <w:r w:rsidR="005D4E56" w:rsidRPr="00142817">
        <w:rPr>
          <w:rFonts w:ascii="Lato" w:hAnsi="Lato"/>
        </w:rPr>
        <w:t xml:space="preserve">The </w:t>
      </w:r>
      <w:hyperlink r:id="rId18" w:history="1">
        <w:r w:rsidR="005D4E56" w:rsidRPr="00142817">
          <w:rPr>
            <w:rStyle w:val="Hyperlink"/>
            <w:rFonts w:ascii="Lato" w:hAnsi="Lato"/>
          </w:rPr>
          <w:t>Business Visits and Events Partnership</w:t>
        </w:r>
      </w:hyperlink>
      <w:r w:rsidR="00142817" w:rsidRPr="00142817">
        <w:rPr>
          <w:rFonts w:ascii="Lato" w:hAnsi="Lato"/>
        </w:rPr>
        <w:t xml:space="preserve"> (BVEP)</w:t>
      </w:r>
      <w:r w:rsidR="005D4E56" w:rsidRPr="00142817">
        <w:rPr>
          <w:rFonts w:ascii="Lato" w:hAnsi="Lato"/>
        </w:rPr>
        <w:t xml:space="preserve">, </w:t>
      </w:r>
      <w:hyperlink r:id="rId19" w:history="1">
        <w:r w:rsidR="005D4E56" w:rsidRPr="00142817">
          <w:rPr>
            <w:rStyle w:val="Hyperlink"/>
            <w:rFonts w:ascii="Lato" w:hAnsi="Lato"/>
          </w:rPr>
          <w:t>Coach Tourism Association</w:t>
        </w:r>
      </w:hyperlink>
      <w:r w:rsidR="00142817" w:rsidRPr="00142817">
        <w:rPr>
          <w:rFonts w:ascii="Lato" w:hAnsi="Lato"/>
        </w:rPr>
        <w:t xml:space="preserve"> (CTA)</w:t>
      </w:r>
      <w:r w:rsidR="005D4E56" w:rsidRPr="00142817">
        <w:rPr>
          <w:rFonts w:ascii="Lato" w:hAnsi="Lato"/>
        </w:rPr>
        <w:t xml:space="preserve">, </w:t>
      </w:r>
      <w:hyperlink r:id="rId20" w:history="1">
        <w:r w:rsidR="005D4E56" w:rsidRPr="00142817">
          <w:rPr>
            <w:rStyle w:val="Hyperlink"/>
            <w:rFonts w:ascii="Lato" w:hAnsi="Lato"/>
          </w:rPr>
          <w:t>Confederation of Passenger Transport</w:t>
        </w:r>
      </w:hyperlink>
      <w:r w:rsidR="000F5DA8" w:rsidRPr="00142817">
        <w:rPr>
          <w:rFonts w:ascii="Lato" w:hAnsi="Lato"/>
        </w:rPr>
        <w:t xml:space="preserve"> (CTP UK)</w:t>
      </w:r>
      <w:r w:rsidR="005D4E56" w:rsidRPr="00142817">
        <w:rPr>
          <w:rFonts w:ascii="Lato" w:hAnsi="Lato"/>
        </w:rPr>
        <w:t xml:space="preserve">, </w:t>
      </w:r>
      <w:hyperlink r:id="rId21" w:history="1">
        <w:r w:rsidR="005D4E56" w:rsidRPr="00142817">
          <w:rPr>
            <w:rStyle w:val="Hyperlink"/>
            <w:rFonts w:ascii="Lato" w:hAnsi="Lato"/>
          </w:rPr>
          <w:t>English UK</w:t>
        </w:r>
      </w:hyperlink>
      <w:r w:rsidR="005D4E56" w:rsidRPr="00142817">
        <w:rPr>
          <w:rFonts w:ascii="Lato" w:hAnsi="Lato"/>
        </w:rPr>
        <w:t xml:space="preserve">, </w:t>
      </w:r>
      <w:hyperlink r:id="rId22" w:history="1">
        <w:r w:rsidR="005D4E56" w:rsidRPr="00142817">
          <w:rPr>
            <w:rStyle w:val="Hyperlink"/>
            <w:rFonts w:ascii="Lato" w:hAnsi="Lato"/>
          </w:rPr>
          <w:t>ETOA</w:t>
        </w:r>
      </w:hyperlink>
      <w:r w:rsidR="005D4E56" w:rsidRPr="00142817">
        <w:rPr>
          <w:rFonts w:ascii="Lato" w:hAnsi="Lato"/>
        </w:rPr>
        <w:t xml:space="preserve">, </w:t>
      </w:r>
      <w:hyperlink r:id="rId23" w:history="1">
        <w:r w:rsidR="005D4E56" w:rsidRPr="00142817">
          <w:rPr>
            <w:rStyle w:val="Hyperlink"/>
            <w:rFonts w:ascii="Lato" w:hAnsi="Lato"/>
          </w:rPr>
          <w:t>Tourism Alliance</w:t>
        </w:r>
      </w:hyperlink>
      <w:r w:rsidR="005D4E56" w:rsidRPr="00142817">
        <w:rPr>
          <w:rFonts w:ascii="Lato" w:hAnsi="Lato"/>
        </w:rPr>
        <w:t xml:space="preserve"> and </w:t>
      </w:r>
      <w:hyperlink r:id="rId24" w:history="1">
        <w:r w:rsidR="005D4E56" w:rsidRPr="00142817">
          <w:rPr>
            <w:rStyle w:val="Hyperlink"/>
            <w:rFonts w:ascii="Lato" w:hAnsi="Lato"/>
          </w:rPr>
          <w:t>UKinbound</w:t>
        </w:r>
      </w:hyperlink>
      <w:r w:rsidR="005D4E56" w:rsidRPr="00142817">
        <w:rPr>
          <w:rFonts w:ascii="Lato" w:hAnsi="Lato"/>
        </w:rPr>
        <w:t xml:space="preserve"> </w:t>
      </w:r>
      <w:r w:rsidR="00F52EC0" w:rsidRPr="00142817">
        <w:rPr>
          <w:rFonts w:ascii="Lato" w:hAnsi="Lato"/>
        </w:rPr>
        <w:t xml:space="preserve">have </w:t>
      </w:r>
      <w:r w:rsidR="00FE6B1D" w:rsidRPr="00142817">
        <w:rPr>
          <w:rFonts w:ascii="Lato" w:hAnsi="Lato"/>
        </w:rPr>
        <w:t xml:space="preserve">collectively </w:t>
      </w:r>
      <w:r w:rsidR="00F52EC0" w:rsidRPr="00142817">
        <w:rPr>
          <w:rFonts w:ascii="Lato" w:hAnsi="Lato"/>
        </w:rPr>
        <w:t xml:space="preserve">expressed their despair and disbelief that </w:t>
      </w:r>
      <w:r w:rsidR="00FE6B1D" w:rsidRPr="00142817">
        <w:rPr>
          <w:rFonts w:ascii="Lato" w:hAnsi="Lato"/>
        </w:rPr>
        <w:t xml:space="preserve">Government has </w:t>
      </w:r>
      <w:r w:rsidR="003048C5" w:rsidRPr="00142817">
        <w:rPr>
          <w:rFonts w:ascii="Lato" w:hAnsi="Lato"/>
        </w:rPr>
        <w:t xml:space="preserve">again </w:t>
      </w:r>
      <w:r w:rsidR="00FE6B1D" w:rsidRPr="00142817">
        <w:rPr>
          <w:rFonts w:ascii="Lato" w:hAnsi="Lato"/>
        </w:rPr>
        <w:t xml:space="preserve">chosen to </w:t>
      </w:r>
      <w:r w:rsidR="005D4E56" w:rsidRPr="00142817">
        <w:rPr>
          <w:rFonts w:ascii="Lato" w:hAnsi="Lato"/>
        </w:rPr>
        <w:t xml:space="preserve">deny </w:t>
      </w:r>
      <w:r w:rsidR="00FE6B1D" w:rsidRPr="00142817">
        <w:rPr>
          <w:rFonts w:ascii="Lato" w:hAnsi="Lato"/>
        </w:rPr>
        <w:t xml:space="preserve">businesses in the </w:t>
      </w:r>
      <w:r w:rsidR="003048C5" w:rsidRPr="00142817">
        <w:rPr>
          <w:rFonts w:ascii="Lato" w:hAnsi="Lato"/>
        </w:rPr>
        <w:t xml:space="preserve">inbound </w:t>
      </w:r>
      <w:r w:rsidR="00FE6B1D" w:rsidRPr="00142817">
        <w:rPr>
          <w:rFonts w:ascii="Lato" w:hAnsi="Lato"/>
        </w:rPr>
        <w:t>tourism sector</w:t>
      </w:r>
      <w:r w:rsidR="00CA3640" w:rsidRPr="00142817">
        <w:rPr>
          <w:rFonts w:ascii="Lato" w:hAnsi="Lato"/>
        </w:rPr>
        <w:t>,</w:t>
      </w:r>
      <w:r w:rsidR="00FE6B1D" w:rsidRPr="00142817">
        <w:rPr>
          <w:rFonts w:ascii="Lato" w:hAnsi="Lato"/>
        </w:rPr>
        <w:t xml:space="preserve"> </w:t>
      </w:r>
      <w:r w:rsidR="003048C5" w:rsidRPr="00142817">
        <w:rPr>
          <w:rFonts w:ascii="Lato" w:hAnsi="Lato"/>
        </w:rPr>
        <w:t>which generate</w:t>
      </w:r>
      <w:r w:rsidR="009C338B" w:rsidRPr="00142817">
        <w:rPr>
          <w:rFonts w:ascii="Lato" w:hAnsi="Lato"/>
        </w:rPr>
        <w:t>d</w:t>
      </w:r>
      <w:r w:rsidR="003048C5" w:rsidRPr="00142817">
        <w:rPr>
          <w:rFonts w:ascii="Lato" w:hAnsi="Lato"/>
        </w:rPr>
        <w:t xml:space="preserve"> £</w:t>
      </w:r>
      <w:r w:rsidR="00CA3640" w:rsidRPr="00142817">
        <w:rPr>
          <w:rFonts w:ascii="Lato" w:hAnsi="Lato"/>
        </w:rPr>
        <w:t>28.4 billion</w:t>
      </w:r>
      <w:r w:rsidR="00733F4B">
        <w:rPr>
          <w:rFonts w:ascii="Lato" w:hAnsi="Lato"/>
        </w:rPr>
        <w:t xml:space="preserve"> in export earnings</w:t>
      </w:r>
      <w:r w:rsidR="003048C5" w:rsidRPr="00142817">
        <w:rPr>
          <w:rFonts w:ascii="Lato" w:hAnsi="Lato"/>
        </w:rPr>
        <w:t xml:space="preserve"> for the UK economy</w:t>
      </w:r>
      <w:r w:rsidR="009C338B" w:rsidRPr="00142817">
        <w:rPr>
          <w:rFonts w:ascii="Lato" w:hAnsi="Lato"/>
        </w:rPr>
        <w:t xml:space="preserve"> in 2019</w:t>
      </w:r>
      <w:r w:rsidR="005D4E56" w:rsidRPr="00142817">
        <w:rPr>
          <w:rFonts w:ascii="Lato" w:hAnsi="Lato"/>
        </w:rPr>
        <w:t xml:space="preserve">, access to the latest Covid-19 support. </w:t>
      </w:r>
    </w:p>
    <w:p w14:paraId="7FBDFA37" w14:textId="77777777" w:rsidR="003048C5" w:rsidRPr="00142817" w:rsidRDefault="003048C5" w:rsidP="00142817">
      <w:pPr>
        <w:spacing w:after="0" w:line="240" w:lineRule="auto"/>
        <w:jc w:val="both"/>
        <w:rPr>
          <w:rFonts w:ascii="Lato" w:hAnsi="Lato"/>
        </w:rPr>
      </w:pPr>
    </w:p>
    <w:p w14:paraId="2CB1AAB5" w14:textId="141B4CCC" w:rsidR="00283E9A" w:rsidRPr="00142817" w:rsidRDefault="003048C5" w:rsidP="00142817">
      <w:pPr>
        <w:spacing w:after="0" w:line="240" w:lineRule="auto"/>
        <w:jc w:val="both"/>
        <w:rPr>
          <w:rFonts w:ascii="Lato" w:hAnsi="Lato"/>
        </w:rPr>
      </w:pPr>
      <w:r w:rsidRPr="00142817">
        <w:rPr>
          <w:rFonts w:ascii="Lato" w:hAnsi="Lato"/>
        </w:rPr>
        <w:t>Since March 2020,</w:t>
      </w:r>
      <w:r w:rsidR="00FE6B1D" w:rsidRPr="00142817">
        <w:rPr>
          <w:rFonts w:ascii="Lato" w:hAnsi="Lato"/>
        </w:rPr>
        <w:t xml:space="preserve"> the Government </w:t>
      </w:r>
      <w:r w:rsidR="005D4E56" w:rsidRPr="00142817">
        <w:rPr>
          <w:rFonts w:ascii="Lato" w:hAnsi="Lato"/>
        </w:rPr>
        <w:t>has stated</w:t>
      </w:r>
      <w:r w:rsidR="00FE6B1D" w:rsidRPr="00142817">
        <w:rPr>
          <w:rFonts w:ascii="Lato" w:hAnsi="Lato"/>
        </w:rPr>
        <w:t xml:space="preserve"> that sexual entertainment venues and hostess </w:t>
      </w:r>
      <w:r w:rsidR="00CA3640" w:rsidRPr="00142817">
        <w:rPr>
          <w:rFonts w:ascii="Lato" w:hAnsi="Lato"/>
        </w:rPr>
        <w:t>bars are</w:t>
      </w:r>
      <w:r w:rsidR="00283E9A" w:rsidRPr="00142817">
        <w:rPr>
          <w:rFonts w:ascii="Lato" w:hAnsi="Lato"/>
        </w:rPr>
        <w:t xml:space="preserve"> specifically eligible for </w:t>
      </w:r>
      <w:r w:rsidR="0091678F" w:rsidRPr="00142817">
        <w:rPr>
          <w:rFonts w:ascii="Lato" w:hAnsi="Lato"/>
        </w:rPr>
        <w:t>Business Grants,</w:t>
      </w:r>
      <w:r w:rsidR="00CB3E31" w:rsidRPr="00142817">
        <w:rPr>
          <w:rFonts w:ascii="Lato" w:hAnsi="Lato"/>
        </w:rPr>
        <w:t xml:space="preserve"> </w:t>
      </w:r>
      <w:r w:rsidR="00937732" w:rsidRPr="00142817">
        <w:rPr>
          <w:rFonts w:ascii="Lato" w:hAnsi="Lato"/>
        </w:rPr>
        <w:t>Local Restriction Support Grants</w:t>
      </w:r>
      <w:r w:rsidR="00CB3E31" w:rsidRPr="00142817">
        <w:rPr>
          <w:rFonts w:ascii="Lato" w:hAnsi="Lato"/>
        </w:rPr>
        <w:t xml:space="preserve"> </w:t>
      </w:r>
      <w:r w:rsidR="0091678F" w:rsidRPr="00142817">
        <w:rPr>
          <w:rFonts w:ascii="Lato" w:hAnsi="Lato"/>
        </w:rPr>
        <w:t xml:space="preserve">and Business Rates </w:t>
      </w:r>
      <w:r w:rsidR="00CB3E31" w:rsidRPr="00142817">
        <w:rPr>
          <w:rFonts w:ascii="Lato" w:hAnsi="Lato"/>
        </w:rPr>
        <w:t>Relief</w:t>
      </w:r>
      <w:r w:rsidR="003713B4" w:rsidRPr="00142817">
        <w:rPr>
          <w:rFonts w:ascii="Lato" w:hAnsi="Lato"/>
        </w:rPr>
        <w:t>. H</w:t>
      </w:r>
      <w:r w:rsidR="00283E9A" w:rsidRPr="00142817">
        <w:rPr>
          <w:rFonts w:ascii="Lato" w:hAnsi="Lato"/>
        </w:rPr>
        <w:t>owever</w:t>
      </w:r>
      <w:r w:rsidR="003713B4" w:rsidRPr="00142817">
        <w:rPr>
          <w:rFonts w:ascii="Lato" w:hAnsi="Lato"/>
        </w:rPr>
        <w:t>,</w:t>
      </w:r>
      <w:r w:rsidR="00283E9A" w:rsidRPr="00142817">
        <w:rPr>
          <w:rFonts w:ascii="Lato" w:hAnsi="Lato"/>
        </w:rPr>
        <w:t xml:space="preserve"> </w:t>
      </w:r>
      <w:r w:rsidR="005D4E56" w:rsidRPr="00142817">
        <w:rPr>
          <w:rFonts w:ascii="Lato" w:hAnsi="Lato"/>
        </w:rPr>
        <w:t>four</w:t>
      </w:r>
      <w:r w:rsidR="00283E9A" w:rsidRPr="00142817">
        <w:rPr>
          <w:rFonts w:ascii="Lato" w:hAnsi="Lato"/>
        </w:rPr>
        <w:t xml:space="preserve"> incredibly valuable export earning tourism and transport sectors</w:t>
      </w:r>
      <w:r w:rsidR="00CB3E31" w:rsidRPr="00142817">
        <w:rPr>
          <w:rFonts w:ascii="Lato" w:hAnsi="Lato"/>
        </w:rPr>
        <w:t>,</w:t>
      </w:r>
      <w:r w:rsidR="00283E9A" w:rsidRPr="00142817">
        <w:rPr>
          <w:rFonts w:ascii="Lato" w:hAnsi="Lato"/>
        </w:rPr>
        <w:t xml:space="preserve"> </w:t>
      </w:r>
      <w:r w:rsidR="00E32A0B" w:rsidRPr="00142817">
        <w:rPr>
          <w:rFonts w:ascii="Lato" w:hAnsi="Lato"/>
        </w:rPr>
        <w:t>which</w:t>
      </w:r>
      <w:r w:rsidR="00CB3E31" w:rsidRPr="00142817">
        <w:rPr>
          <w:rFonts w:ascii="Lato" w:hAnsi="Lato"/>
        </w:rPr>
        <w:t xml:space="preserve"> have been effectively closed </w:t>
      </w:r>
      <w:r w:rsidR="005D4E56" w:rsidRPr="00142817">
        <w:rPr>
          <w:rFonts w:ascii="Lato" w:hAnsi="Lato"/>
        </w:rPr>
        <w:t xml:space="preserve">for almost a year, </w:t>
      </w:r>
      <w:r w:rsidR="00937732" w:rsidRPr="00142817">
        <w:rPr>
          <w:rFonts w:ascii="Lato" w:hAnsi="Lato"/>
        </w:rPr>
        <w:t>continue to be</w:t>
      </w:r>
      <w:r w:rsidR="00283E9A" w:rsidRPr="00142817">
        <w:rPr>
          <w:rFonts w:ascii="Lato" w:hAnsi="Lato"/>
        </w:rPr>
        <w:t xml:space="preserve"> excluded.</w:t>
      </w:r>
    </w:p>
    <w:p w14:paraId="13BB3BB6" w14:textId="77777777" w:rsidR="00937732" w:rsidRPr="00142817" w:rsidRDefault="00937732" w:rsidP="00142817">
      <w:pPr>
        <w:spacing w:after="0" w:line="240" w:lineRule="auto"/>
        <w:jc w:val="both"/>
        <w:rPr>
          <w:rFonts w:ascii="Lato" w:hAnsi="Lato"/>
        </w:rPr>
      </w:pPr>
    </w:p>
    <w:p w14:paraId="2C528EDD" w14:textId="666C0001" w:rsidR="00283E9A" w:rsidRPr="00142817" w:rsidRDefault="007D73F3" w:rsidP="00142817">
      <w:pPr>
        <w:spacing w:after="0" w:line="240" w:lineRule="auto"/>
        <w:jc w:val="both"/>
        <w:rPr>
          <w:rFonts w:ascii="Lato" w:hAnsi="Lato"/>
        </w:rPr>
      </w:pPr>
      <w:r>
        <w:rPr>
          <w:rFonts w:ascii="Lato" w:hAnsi="Lato"/>
        </w:rPr>
        <w:t>T</w:t>
      </w:r>
      <w:r w:rsidR="00283E9A" w:rsidRPr="00142817">
        <w:rPr>
          <w:rFonts w:ascii="Lato" w:hAnsi="Lato"/>
        </w:rPr>
        <w:t xml:space="preserve">he following sectors generate </w:t>
      </w:r>
      <w:r w:rsidR="00CA3640" w:rsidRPr="00142817">
        <w:rPr>
          <w:rFonts w:ascii="Lato" w:hAnsi="Lato"/>
        </w:rPr>
        <w:t>£1</w:t>
      </w:r>
      <w:r w:rsidR="008712F0" w:rsidRPr="00142817">
        <w:rPr>
          <w:rFonts w:ascii="Lato" w:hAnsi="Lato"/>
        </w:rPr>
        <w:t>7.5</w:t>
      </w:r>
      <w:r w:rsidR="003713B4" w:rsidRPr="00142817">
        <w:rPr>
          <w:rFonts w:ascii="Lato" w:hAnsi="Lato"/>
        </w:rPr>
        <w:t xml:space="preserve"> </w:t>
      </w:r>
      <w:r w:rsidR="00283E9A" w:rsidRPr="00142817">
        <w:rPr>
          <w:rFonts w:ascii="Lato" w:hAnsi="Lato"/>
        </w:rPr>
        <w:t>billion</w:t>
      </w:r>
      <w:r w:rsidR="003713B4" w:rsidRPr="00142817">
        <w:rPr>
          <w:rFonts w:ascii="Lato" w:hAnsi="Lato"/>
        </w:rPr>
        <w:t xml:space="preserve"> </w:t>
      </w:r>
      <w:r w:rsidR="00815782" w:rsidRPr="00142817">
        <w:rPr>
          <w:rFonts w:ascii="Lato" w:hAnsi="Lato"/>
        </w:rPr>
        <w:t xml:space="preserve">and </w:t>
      </w:r>
      <w:r w:rsidR="008712F0" w:rsidRPr="00142817">
        <w:rPr>
          <w:rFonts w:ascii="Lato" w:hAnsi="Lato"/>
        </w:rPr>
        <w:t>275,000</w:t>
      </w:r>
      <w:r w:rsidR="00815782" w:rsidRPr="00142817">
        <w:rPr>
          <w:rFonts w:ascii="Lato" w:hAnsi="Lato"/>
        </w:rPr>
        <w:t xml:space="preserve"> jobs </w:t>
      </w:r>
      <w:r w:rsidR="0091678F" w:rsidRPr="00142817">
        <w:rPr>
          <w:rFonts w:ascii="Lato" w:hAnsi="Lato"/>
        </w:rPr>
        <w:t>for the UK</w:t>
      </w:r>
      <w:r w:rsidR="00CD4BA5" w:rsidRPr="00142817">
        <w:rPr>
          <w:rFonts w:ascii="Lato" w:hAnsi="Lato"/>
        </w:rPr>
        <w:t xml:space="preserve"> </w:t>
      </w:r>
      <w:r w:rsidR="00CA3640" w:rsidRPr="00142817">
        <w:rPr>
          <w:rFonts w:ascii="Lato" w:hAnsi="Lato"/>
        </w:rPr>
        <w:t>economy,</w:t>
      </w:r>
      <w:r w:rsidR="0091678F" w:rsidRPr="00142817">
        <w:rPr>
          <w:rFonts w:ascii="Lato" w:hAnsi="Lato"/>
        </w:rPr>
        <w:t xml:space="preserve"> but they are not listed as businesses that should be eligible for support</w:t>
      </w:r>
      <w:r w:rsidR="005D4E56" w:rsidRPr="00142817">
        <w:rPr>
          <w:rFonts w:ascii="Lato" w:hAnsi="Lato"/>
        </w:rPr>
        <w:t>,</w:t>
      </w:r>
      <w:r w:rsidR="002D595D" w:rsidRPr="00142817">
        <w:rPr>
          <w:rFonts w:ascii="Lato" w:hAnsi="Lato"/>
        </w:rPr>
        <w:t xml:space="preserve"> even though inbound tourism figures are down 95% </w:t>
      </w:r>
      <w:proofErr w:type="gramStart"/>
      <w:r w:rsidR="002D595D" w:rsidRPr="00142817">
        <w:rPr>
          <w:rFonts w:ascii="Lato" w:hAnsi="Lato"/>
        </w:rPr>
        <w:t>as a result of</w:t>
      </w:r>
      <w:proofErr w:type="gramEnd"/>
      <w:r w:rsidR="002D595D" w:rsidRPr="00142817">
        <w:rPr>
          <w:rFonts w:ascii="Lato" w:hAnsi="Lato"/>
        </w:rPr>
        <w:t xml:space="preserve"> Coronavirus</w:t>
      </w:r>
      <w:r w:rsidR="007D5025" w:rsidRPr="00142817">
        <w:rPr>
          <w:rFonts w:ascii="Lato" w:hAnsi="Lato"/>
        </w:rPr>
        <w:t xml:space="preserve">. </w:t>
      </w:r>
    </w:p>
    <w:p w14:paraId="1A04E963" w14:textId="77777777" w:rsidR="0091678F" w:rsidRPr="00142817" w:rsidRDefault="0091678F" w:rsidP="00142817">
      <w:pPr>
        <w:spacing w:after="0" w:line="240" w:lineRule="auto"/>
        <w:jc w:val="both"/>
        <w:rPr>
          <w:rFonts w:ascii="Lato" w:hAnsi="Lato"/>
        </w:rPr>
      </w:pPr>
    </w:p>
    <w:p w14:paraId="6C0B78FC" w14:textId="4A814408" w:rsidR="00283E9A" w:rsidRPr="00142817" w:rsidRDefault="00283E9A" w:rsidP="00142817">
      <w:pPr>
        <w:pStyle w:val="ListParagraph"/>
        <w:numPr>
          <w:ilvl w:val="0"/>
          <w:numId w:val="16"/>
        </w:numPr>
        <w:spacing w:after="0" w:line="240" w:lineRule="auto"/>
        <w:jc w:val="both"/>
        <w:rPr>
          <w:rFonts w:ascii="Lato" w:hAnsi="Lato"/>
        </w:rPr>
      </w:pPr>
      <w:r w:rsidRPr="00142817">
        <w:rPr>
          <w:rFonts w:ascii="Lato" w:hAnsi="Lato"/>
        </w:rPr>
        <w:t xml:space="preserve">Tour Operators/Destination Management Companies </w:t>
      </w:r>
      <w:r w:rsidR="00A75F2D" w:rsidRPr="00142817">
        <w:rPr>
          <w:rFonts w:ascii="Lato" w:hAnsi="Lato"/>
        </w:rPr>
        <w:t>(DMCs)</w:t>
      </w:r>
    </w:p>
    <w:p w14:paraId="434C0D4F" w14:textId="22C9C8B0" w:rsidR="00283E9A" w:rsidRPr="00142817" w:rsidRDefault="00283E9A" w:rsidP="00142817">
      <w:pPr>
        <w:pStyle w:val="ListParagraph"/>
        <w:numPr>
          <w:ilvl w:val="0"/>
          <w:numId w:val="16"/>
        </w:numPr>
        <w:spacing w:after="0" w:line="240" w:lineRule="auto"/>
        <w:jc w:val="both"/>
        <w:rPr>
          <w:rFonts w:ascii="Lato" w:hAnsi="Lato"/>
        </w:rPr>
      </w:pPr>
      <w:r w:rsidRPr="00142817">
        <w:rPr>
          <w:rFonts w:ascii="Lato" w:hAnsi="Lato"/>
        </w:rPr>
        <w:t xml:space="preserve">Coach Operators </w:t>
      </w:r>
    </w:p>
    <w:p w14:paraId="3224C395" w14:textId="214E9CD9" w:rsidR="0091678F" w:rsidRPr="00142817" w:rsidRDefault="0091678F" w:rsidP="00142817">
      <w:pPr>
        <w:pStyle w:val="ListParagraph"/>
        <w:numPr>
          <w:ilvl w:val="0"/>
          <w:numId w:val="16"/>
        </w:numPr>
        <w:spacing w:after="0" w:line="240" w:lineRule="auto"/>
        <w:jc w:val="both"/>
        <w:rPr>
          <w:rFonts w:ascii="Lato" w:hAnsi="Lato"/>
        </w:rPr>
      </w:pPr>
      <w:r w:rsidRPr="00142817">
        <w:rPr>
          <w:rFonts w:ascii="Lato" w:hAnsi="Lato"/>
        </w:rPr>
        <w:t>Language School</w:t>
      </w:r>
      <w:r w:rsidR="009C338B" w:rsidRPr="00142817">
        <w:rPr>
          <w:rFonts w:ascii="Lato" w:hAnsi="Lato"/>
        </w:rPr>
        <w:t>s</w:t>
      </w:r>
    </w:p>
    <w:p w14:paraId="6EE7DDD1" w14:textId="2E79CBC7" w:rsidR="0091678F" w:rsidRPr="00142817" w:rsidRDefault="0091678F" w:rsidP="00142817">
      <w:pPr>
        <w:pStyle w:val="ListParagraph"/>
        <w:numPr>
          <w:ilvl w:val="0"/>
          <w:numId w:val="16"/>
        </w:numPr>
        <w:spacing w:after="0" w:line="240" w:lineRule="auto"/>
        <w:jc w:val="both"/>
        <w:rPr>
          <w:rFonts w:ascii="Lato" w:hAnsi="Lato"/>
        </w:rPr>
      </w:pPr>
      <w:r w:rsidRPr="00142817">
        <w:rPr>
          <w:rFonts w:ascii="Lato" w:hAnsi="Lato"/>
        </w:rPr>
        <w:t xml:space="preserve">Event Organisers </w:t>
      </w:r>
    </w:p>
    <w:p w14:paraId="63D320B8" w14:textId="10EE5F61" w:rsidR="00FE6B1D" w:rsidRPr="00142817" w:rsidRDefault="00FE6B1D" w:rsidP="00142817">
      <w:pPr>
        <w:spacing w:after="0" w:line="240" w:lineRule="auto"/>
        <w:jc w:val="both"/>
        <w:rPr>
          <w:rFonts w:ascii="Lato" w:hAnsi="Lato"/>
        </w:rPr>
      </w:pPr>
    </w:p>
    <w:p w14:paraId="79B03CF6" w14:textId="77AEAE86" w:rsidR="00937732" w:rsidRPr="00142817" w:rsidRDefault="00937732" w:rsidP="00142817">
      <w:pPr>
        <w:spacing w:after="0" w:line="240" w:lineRule="auto"/>
        <w:jc w:val="both"/>
        <w:rPr>
          <w:rFonts w:ascii="Lato" w:hAnsi="Lato"/>
        </w:rPr>
      </w:pPr>
      <w:r w:rsidRPr="00142817">
        <w:rPr>
          <w:rFonts w:ascii="Lato" w:hAnsi="Lato"/>
        </w:rPr>
        <w:t>The Government’s latest “Business Support Package for January Lockdown”, which includes a Closed Businesses Lockdown Payment and LRSG (Closed) Addendum add</w:t>
      </w:r>
      <w:r w:rsidR="00C45798" w:rsidRPr="00142817">
        <w:rPr>
          <w:rFonts w:ascii="Lato" w:hAnsi="Lato"/>
        </w:rPr>
        <w:t>s</w:t>
      </w:r>
      <w:r w:rsidRPr="00142817">
        <w:rPr>
          <w:rFonts w:ascii="Lato" w:hAnsi="Lato"/>
        </w:rPr>
        <w:t xml:space="preserve"> insult to injury by providing </w:t>
      </w:r>
      <w:r w:rsidR="00C45798" w:rsidRPr="00142817">
        <w:rPr>
          <w:rFonts w:ascii="Lato" w:hAnsi="Lato"/>
        </w:rPr>
        <w:t xml:space="preserve">further support of up to £13,500 for </w:t>
      </w:r>
      <w:r w:rsidR="000F5DA8" w:rsidRPr="00142817">
        <w:rPr>
          <w:rFonts w:ascii="Lato" w:hAnsi="Lato"/>
        </w:rPr>
        <w:t>sexual entertainment venues</w:t>
      </w:r>
      <w:r w:rsidR="009C338B" w:rsidRPr="00142817">
        <w:rPr>
          <w:rFonts w:ascii="Lato" w:hAnsi="Lato"/>
        </w:rPr>
        <w:t>,</w:t>
      </w:r>
      <w:r w:rsidR="00C45798" w:rsidRPr="00142817">
        <w:rPr>
          <w:rFonts w:ascii="Lato" w:hAnsi="Lato"/>
        </w:rPr>
        <w:t xml:space="preserve"> while again excluding these tourism businesses from applying.</w:t>
      </w:r>
    </w:p>
    <w:p w14:paraId="554CD057" w14:textId="67BBD0C8" w:rsidR="00CB3E31" w:rsidRPr="00142817" w:rsidRDefault="00E32A0B" w:rsidP="00142817">
      <w:pPr>
        <w:tabs>
          <w:tab w:val="left" w:pos="5348"/>
        </w:tabs>
        <w:spacing w:after="0" w:line="240" w:lineRule="auto"/>
        <w:jc w:val="both"/>
        <w:rPr>
          <w:rFonts w:ascii="Lato" w:hAnsi="Lato"/>
        </w:rPr>
      </w:pPr>
      <w:r w:rsidRPr="00142817">
        <w:rPr>
          <w:rFonts w:ascii="Lato" w:hAnsi="Lato"/>
        </w:rPr>
        <w:tab/>
      </w:r>
    </w:p>
    <w:p w14:paraId="3A8BFCEE" w14:textId="4E66B501" w:rsidR="00CB3E31" w:rsidRDefault="000F5DA8" w:rsidP="00142817">
      <w:pPr>
        <w:spacing w:after="0" w:line="240" w:lineRule="auto"/>
        <w:jc w:val="both"/>
        <w:rPr>
          <w:rFonts w:ascii="Lato" w:hAnsi="Lato"/>
        </w:rPr>
      </w:pPr>
      <w:r w:rsidRPr="00142817">
        <w:rPr>
          <w:rFonts w:ascii="Lato" w:hAnsi="Lato"/>
        </w:rPr>
        <w:t>These</w:t>
      </w:r>
      <w:r w:rsidR="00CB3E31" w:rsidRPr="00142817">
        <w:rPr>
          <w:rFonts w:ascii="Lato" w:hAnsi="Lato"/>
        </w:rPr>
        <w:t xml:space="preserve"> associations and </w:t>
      </w:r>
      <w:r w:rsidRPr="00142817">
        <w:rPr>
          <w:rFonts w:ascii="Lato" w:hAnsi="Lato"/>
        </w:rPr>
        <w:t xml:space="preserve">their </w:t>
      </w:r>
      <w:r w:rsidR="00CB3E31" w:rsidRPr="00142817">
        <w:rPr>
          <w:rFonts w:ascii="Lato" w:hAnsi="Lato"/>
        </w:rPr>
        <w:t>members have contacted</w:t>
      </w:r>
      <w:r w:rsidR="00C45798" w:rsidRPr="00142817">
        <w:rPr>
          <w:rFonts w:ascii="Lato" w:hAnsi="Lato"/>
        </w:rPr>
        <w:t xml:space="preserve"> Ministers</w:t>
      </w:r>
      <w:r w:rsidR="005D4E56" w:rsidRPr="00142817">
        <w:rPr>
          <w:rFonts w:ascii="Lato" w:hAnsi="Lato"/>
        </w:rPr>
        <w:t xml:space="preserve">, </w:t>
      </w:r>
      <w:proofErr w:type="gramStart"/>
      <w:r w:rsidR="00CB3E31" w:rsidRPr="00142817">
        <w:rPr>
          <w:rFonts w:ascii="Lato" w:hAnsi="Lato"/>
        </w:rPr>
        <w:t>MPs</w:t>
      </w:r>
      <w:proofErr w:type="gramEnd"/>
      <w:r w:rsidR="00CB3E31" w:rsidRPr="00142817">
        <w:rPr>
          <w:rFonts w:ascii="Lato" w:hAnsi="Lato"/>
        </w:rPr>
        <w:t xml:space="preserve"> and Government</w:t>
      </w:r>
      <w:r w:rsidR="00C45798" w:rsidRPr="00142817">
        <w:rPr>
          <w:rFonts w:ascii="Lato" w:hAnsi="Lato"/>
        </w:rPr>
        <w:t xml:space="preserve"> Officials</w:t>
      </w:r>
      <w:r w:rsidR="00CB3E31" w:rsidRPr="00142817">
        <w:rPr>
          <w:rFonts w:ascii="Lato" w:hAnsi="Lato"/>
        </w:rPr>
        <w:t xml:space="preserve"> over 100 times </w:t>
      </w:r>
      <w:r w:rsidR="00CD4BA5" w:rsidRPr="00142817">
        <w:rPr>
          <w:rFonts w:ascii="Lato" w:hAnsi="Lato"/>
        </w:rPr>
        <w:t xml:space="preserve">to outline why these businesses should be supported </w:t>
      </w:r>
      <w:r w:rsidR="006805DF" w:rsidRPr="00142817">
        <w:rPr>
          <w:rFonts w:ascii="Lato" w:hAnsi="Lato"/>
        </w:rPr>
        <w:t>(previous</w:t>
      </w:r>
      <w:r w:rsidR="009C338B" w:rsidRPr="00142817">
        <w:rPr>
          <w:rFonts w:ascii="Lato" w:hAnsi="Lato"/>
        </w:rPr>
        <w:t>ly</w:t>
      </w:r>
      <w:r w:rsidR="006805DF" w:rsidRPr="00142817">
        <w:rPr>
          <w:rFonts w:ascii="Lato" w:hAnsi="Lato"/>
        </w:rPr>
        <w:t xml:space="preserve"> profitable, generate billions for the UK economy and will significantly aid the UK’s economic recovery) </w:t>
      </w:r>
      <w:r w:rsidR="00CD4BA5" w:rsidRPr="00142817">
        <w:rPr>
          <w:rFonts w:ascii="Lato" w:hAnsi="Lato"/>
        </w:rPr>
        <w:t xml:space="preserve">and to ask for the </w:t>
      </w:r>
      <w:r w:rsidR="00C45798" w:rsidRPr="00142817">
        <w:rPr>
          <w:rFonts w:ascii="Lato" w:hAnsi="Lato"/>
        </w:rPr>
        <w:t xml:space="preserve">eligibility </w:t>
      </w:r>
      <w:r w:rsidR="00CA3640" w:rsidRPr="00142817">
        <w:rPr>
          <w:rFonts w:ascii="Lato" w:hAnsi="Lato"/>
        </w:rPr>
        <w:t>criteria</w:t>
      </w:r>
      <w:r w:rsidR="00CD4BA5" w:rsidRPr="00142817">
        <w:rPr>
          <w:rFonts w:ascii="Lato" w:hAnsi="Lato"/>
        </w:rPr>
        <w:t xml:space="preserve"> </w:t>
      </w:r>
      <w:r w:rsidR="003E25CA">
        <w:rPr>
          <w:rFonts w:ascii="Lato" w:hAnsi="Lato"/>
        </w:rPr>
        <w:t xml:space="preserve">to </w:t>
      </w:r>
      <w:r w:rsidR="00CD4BA5" w:rsidRPr="00142817">
        <w:rPr>
          <w:rFonts w:ascii="Lato" w:hAnsi="Lato"/>
        </w:rPr>
        <w:t xml:space="preserve">be changed to include </w:t>
      </w:r>
      <w:r w:rsidR="009C338B" w:rsidRPr="00142817">
        <w:rPr>
          <w:rFonts w:ascii="Lato" w:hAnsi="Lato"/>
        </w:rPr>
        <w:t>them</w:t>
      </w:r>
      <w:r w:rsidR="00CD4BA5" w:rsidRPr="00142817">
        <w:rPr>
          <w:rFonts w:ascii="Lato" w:hAnsi="Lato"/>
        </w:rPr>
        <w:t>.</w:t>
      </w:r>
      <w:r w:rsidR="00C45798" w:rsidRPr="00142817">
        <w:rPr>
          <w:rFonts w:ascii="Lato" w:hAnsi="Lato"/>
        </w:rPr>
        <w:t xml:space="preserve"> </w:t>
      </w:r>
      <w:r w:rsidR="003E25CA">
        <w:rPr>
          <w:rFonts w:ascii="Lato" w:hAnsi="Lato"/>
        </w:rPr>
        <w:t xml:space="preserve">These requests continue to be ignored by Government. </w:t>
      </w:r>
    </w:p>
    <w:p w14:paraId="1D79BE88" w14:textId="628F23B9" w:rsidR="00CD4BA5" w:rsidRPr="00142817" w:rsidRDefault="00CD4BA5" w:rsidP="00142817">
      <w:pPr>
        <w:spacing w:after="0" w:line="240" w:lineRule="auto"/>
        <w:jc w:val="both"/>
        <w:rPr>
          <w:rFonts w:ascii="Lato" w:hAnsi="Lato"/>
        </w:rPr>
      </w:pPr>
    </w:p>
    <w:p w14:paraId="04EEF961" w14:textId="34D6F8D3" w:rsidR="00044812" w:rsidRPr="007D73F3" w:rsidRDefault="00CD4BA5" w:rsidP="00142817">
      <w:pPr>
        <w:spacing w:after="0" w:line="240" w:lineRule="auto"/>
        <w:jc w:val="both"/>
        <w:rPr>
          <w:rFonts w:ascii="Lato" w:hAnsi="Lato"/>
          <w:i/>
          <w:iCs/>
        </w:rPr>
      </w:pPr>
      <w:r w:rsidRPr="00142817">
        <w:rPr>
          <w:rFonts w:ascii="Lato" w:hAnsi="Lato"/>
          <w:b/>
          <w:bCs/>
        </w:rPr>
        <w:t xml:space="preserve">Joss Croft, CEO, UKinbound </w:t>
      </w:r>
      <w:r w:rsidRPr="00F80751">
        <w:rPr>
          <w:rFonts w:ascii="Lato" w:hAnsi="Lato"/>
        </w:rPr>
        <w:t>said</w:t>
      </w:r>
      <w:r w:rsidRPr="00142817">
        <w:rPr>
          <w:rFonts w:ascii="Lato" w:hAnsi="Lato"/>
        </w:rPr>
        <w:t xml:space="preserve"> “</w:t>
      </w:r>
      <w:r w:rsidR="00A75F2D" w:rsidRPr="007D73F3">
        <w:rPr>
          <w:rFonts w:ascii="Lato" w:hAnsi="Lato"/>
          <w:i/>
          <w:iCs/>
        </w:rPr>
        <w:t xml:space="preserve">By refusing to support these businesses the Government is undermining an integral economic recovery channel. International inbound tourism is the UK’s third </w:t>
      </w:r>
      <w:r w:rsidR="00A75F2D" w:rsidRPr="007D73F3">
        <w:rPr>
          <w:rFonts w:ascii="Lato" w:hAnsi="Lato"/>
          <w:i/>
          <w:iCs/>
        </w:rPr>
        <w:lastRenderedPageBreak/>
        <w:t>largest service export, earning the UK economy £28</w:t>
      </w:r>
      <w:r w:rsidR="003713B4" w:rsidRPr="007D73F3">
        <w:rPr>
          <w:rFonts w:ascii="Lato" w:hAnsi="Lato"/>
          <w:i/>
          <w:iCs/>
        </w:rPr>
        <w:t>bn</w:t>
      </w:r>
      <w:r w:rsidR="00A75F2D" w:rsidRPr="007D73F3">
        <w:rPr>
          <w:rFonts w:ascii="Lato" w:hAnsi="Lato"/>
          <w:i/>
          <w:iCs/>
        </w:rPr>
        <w:t xml:space="preserve"> in 2019, and tour operator/DMCs alone bring in over half of all international visitors. </w:t>
      </w:r>
      <w:r w:rsidR="00044812" w:rsidRPr="007D73F3">
        <w:rPr>
          <w:rFonts w:ascii="Lato" w:hAnsi="Lato"/>
          <w:i/>
          <w:iCs/>
        </w:rPr>
        <w:t xml:space="preserve">With our travel corridors closed these businesses are now on the brink of survival after being left in the cold by existing Government support schemes. </w:t>
      </w:r>
    </w:p>
    <w:p w14:paraId="5EE1A1C1" w14:textId="77777777" w:rsidR="00044812" w:rsidRPr="007D73F3" w:rsidRDefault="00044812" w:rsidP="00142817">
      <w:pPr>
        <w:spacing w:after="0" w:line="240" w:lineRule="auto"/>
        <w:jc w:val="both"/>
        <w:rPr>
          <w:rFonts w:ascii="Lato" w:hAnsi="Lato"/>
          <w:i/>
          <w:iCs/>
        </w:rPr>
      </w:pPr>
    </w:p>
    <w:p w14:paraId="110746B4" w14:textId="618A7C86" w:rsidR="00044812" w:rsidRPr="007D73F3" w:rsidRDefault="00044812" w:rsidP="00142817">
      <w:pPr>
        <w:spacing w:after="0" w:line="240" w:lineRule="auto"/>
        <w:jc w:val="both"/>
        <w:rPr>
          <w:rFonts w:ascii="Lato" w:hAnsi="Lato"/>
          <w:i/>
          <w:iCs/>
        </w:rPr>
      </w:pPr>
      <w:r w:rsidRPr="007D73F3">
        <w:rPr>
          <w:rFonts w:ascii="Lato" w:hAnsi="Lato"/>
          <w:i/>
          <w:iCs/>
        </w:rPr>
        <w:t xml:space="preserve">“Without support and a clear </w:t>
      </w:r>
      <w:r w:rsidR="00E32A0B" w:rsidRPr="007D73F3">
        <w:rPr>
          <w:rFonts w:ascii="Lato" w:hAnsi="Lato"/>
          <w:i/>
          <w:iCs/>
        </w:rPr>
        <w:t>Government</w:t>
      </w:r>
      <w:r w:rsidRPr="007D73F3">
        <w:rPr>
          <w:rFonts w:ascii="Lato" w:hAnsi="Lato"/>
          <w:i/>
          <w:iCs/>
        </w:rPr>
        <w:t xml:space="preserve"> roadmap for reopening we risk the near total collapse of the UK’s inbound tourism industry. When we can travel again international visitors will </w:t>
      </w:r>
      <w:r w:rsidR="00E32A0B" w:rsidRPr="007D73F3">
        <w:rPr>
          <w:rFonts w:ascii="Lato" w:hAnsi="Lato"/>
          <w:i/>
          <w:iCs/>
        </w:rPr>
        <w:t>choose to visit</w:t>
      </w:r>
      <w:r w:rsidRPr="007D73F3">
        <w:rPr>
          <w:rFonts w:ascii="Lato" w:hAnsi="Lato"/>
          <w:i/>
          <w:iCs/>
        </w:rPr>
        <w:t xml:space="preserve"> other European destinations </w:t>
      </w:r>
      <w:r w:rsidR="00E32A0B" w:rsidRPr="007D73F3">
        <w:rPr>
          <w:rFonts w:ascii="Lato" w:hAnsi="Lato"/>
          <w:i/>
          <w:iCs/>
        </w:rPr>
        <w:t xml:space="preserve">rather than the UK, </w:t>
      </w:r>
      <w:r w:rsidRPr="007D73F3">
        <w:rPr>
          <w:rFonts w:ascii="Lato" w:hAnsi="Lato"/>
          <w:i/>
          <w:iCs/>
        </w:rPr>
        <w:t>causing irrevocable damage to the communities and regions who rely on tourism, leaving the Government’s Global Britain and levelling up ambitions in tatters.”</w:t>
      </w:r>
    </w:p>
    <w:p w14:paraId="29A97C57" w14:textId="0BB86431" w:rsidR="00A75F2D" w:rsidRPr="00142817" w:rsidRDefault="00A75F2D" w:rsidP="00142817">
      <w:pPr>
        <w:spacing w:after="0" w:line="240" w:lineRule="auto"/>
        <w:jc w:val="both"/>
        <w:rPr>
          <w:rFonts w:ascii="Lato" w:hAnsi="Lato"/>
        </w:rPr>
      </w:pPr>
    </w:p>
    <w:p w14:paraId="1F10BEF3" w14:textId="5B06DC96" w:rsidR="000F5DA8" w:rsidRPr="000F5DA8" w:rsidRDefault="000F5DA8" w:rsidP="00142817">
      <w:pPr>
        <w:spacing w:after="0" w:line="240" w:lineRule="auto"/>
        <w:rPr>
          <w:rFonts w:ascii="Lato" w:eastAsia="Calibri" w:hAnsi="Lato" w:cs="Calibri"/>
        </w:rPr>
      </w:pPr>
      <w:r w:rsidRPr="000F5DA8">
        <w:rPr>
          <w:rFonts w:ascii="Lato" w:eastAsia="Calibri" w:hAnsi="Lato" w:cs="Calibri"/>
          <w:b/>
          <w:bCs/>
        </w:rPr>
        <w:t>Alison Edwards</w:t>
      </w:r>
      <w:r w:rsidRPr="00142817">
        <w:rPr>
          <w:rFonts w:ascii="Lato" w:eastAsia="Calibri" w:hAnsi="Lato" w:cs="Calibri"/>
          <w:b/>
          <w:bCs/>
        </w:rPr>
        <w:t xml:space="preserve">, </w:t>
      </w:r>
      <w:r w:rsidRPr="000F5DA8">
        <w:rPr>
          <w:rFonts w:ascii="Lato" w:eastAsia="Calibri" w:hAnsi="Lato" w:cs="Calibri"/>
          <w:b/>
          <w:bCs/>
        </w:rPr>
        <w:t>Head of Policy</w:t>
      </w:r>
      <w:r w:rsidRPr="00142817">
        <w:rPr>
          <w:rFonts w:ascii="Lato" w:eastAsia="Calibri" w:hAnsi="Lato" w:cs="Calibri"/>
          <w:b/>
          <w:bCs/>
        </w:rPr>
        <w:t>, CPT UK</w:t>
      </w:r>
      <w:r w:rsidRPr="00142817">
        <w:rPr>
          <w:rFonts w:ascii="Lato" w:eastAsia="Calibri" w:hAnsi="Lato" w:cs="Calibri"/>
        </w:rPr>
        <w:t xml:space="preserve"> said </w:t>
      </w:r>
      <w:r w:rsidRPr="000F5DA8">
        <w:rPr>
          <w:rFonts w:ascii="Lato" w:eastAsia="Calibri" w:hAnsi="Lato" w:cs="Calibri"/>
          <w:i/>
          <w:iCs/>
        </w:rPr>
        <w:t xml:space="preserve">“Coach operators are a vital part of the tourism sector with over 23 million visits each year made to attractions across the UK by coach. </w:t>
      </w:r>
    </w:p>
    <w:p w14:paraId="607A2FAA" w14:textId="77777777" w:rsidR="000F5DA8" w:rsidRPr="000F5DA8" w:rsidRDefault="000F5DA8" w:rsidP="00142817">
      <w:pPr>
        <w:spacing w:after="0" w:line="240" w:lineRule="auto"/>
        <w:rPr>
          <w:rFonts w:ascii="Lato" w:eastAsia="Calibri" w:hAnsi="Lato" w:cs="Calibri"/>
          <w:i/>
          <w:iCs/>
        </w:rPr>
      </w:pPr>
    </w:p>
    <w:p w14:paraId="4A838039" w14:textId="77777777" w:rsidR="000F5DA8" w:rsidRPr="000F5DA8" w:rsidRDefault="000F5DA8" w:rsidP="00142817">
      <w:pPr>
        <w:spacing w:after="0" w:line="240" w:lineRule="auto"/>
        <w:rPr>
          <w:rFonts w:ascii="Lato" w:eastAsia="Calibri" w:hAnsi="Lato" w:cs="Calibri"/>
          <w:i/>
          <w:iCs/>
        </w:rPr>
      </w:pPr>
      <w:r w:rsidRPr="000F5DA8">
        <w:rPr>
          <w:rFonts w:ascii="Lato" w:eastAsia="Calibri" w:hAnsi="Lato" w:cs="Calibri"/>
          <w:i/>
          <w:iCs/>
        </w:rPr>
        <w:t>“If the Government wants coach tourism to help kick start our economic recovery it needs to ensure operators can access the support available to the wider leisure and tourism industry as a m</w:t>
      </w:r>
      <w:r w:rsidRPr="000F5DA8">
        <w:rPr>
          <w:rFonts w:ascii="Lato" w:eastAsia="Calibri" w:hAnsi="Lato" w:cs="Calibri"/>
        </w:rPr>
        <w:t>a</w:t>
      </w:r>
      <w:r w:rsidRPr="000F5DA8">
        <w:rPr>
          <w:rFonts w:ascii="Lato" w:eastAsia="Calibri" w:hAnsi="Lato" w:cs="Calibri"/>
          <w:i/>
          <w:iCs/>
        </w:rPr>
        <w:t xml:space="preserve">tter of urgency.” </w:t>
      </w:r>
    </w:p>
    <w:p w14:paraId="23CD717F" w14:textId="77777777" w:rsidR="00A75F2D" w:rsidRPr="00142817" w:rsidRDefault="00A75F2D" w:rsidP="00142817">
      <w:pPr>
        <w:spacing w:after="0" w:line="240" w:lineRule="auto"/>
        <w:jc w:val="both"/>
        <w:rPr>
          <w:rFonts w:ascii="Lato" w:hAnsi="Lato"/>
        </w:rPr>
      </w:pPr>
    </w:p>
    <w:p w14:paraId="2C819E17" w14:textId="31F7B57C" w:rsidR="000F5DA8" w:rsidRPr="007D73F3" w:rsidRDefault="000F5DA8" w:rsidP="00142817">
      <w:pPr>
        <w:shd w:val="clear" w:color="auto" w:fill="FFFFFF"/>
        <w:spacing w:after="0" w:line="240" w:lineRule="auto"/>
        <w:rPr>
          <w:rFonts w:ascii="Lato" w:eastAsia="Calibri" w:hAnsi="Lato" w:cs="Arial"/>
          <w:i/>
          <w:iCs/>
          <w:color w:val="201F1E"/>
          <w:lang w:eastAsia="en-GB"/>
        </w:rPr>
      </w:pPr>
      <w:r w:rsidRPr="000F5DA8">
        <w:rPr>
          <w:rFonts w:ascii="Lato" w:eastAsia="Calibri" w:hAnsi="Lato" w:cs="Arial"/>
          <w:b/>
          <w:bCs/>
          <w:color w:val="201F1E"/>
          <w:lang w:eastAsia="en-GB"/>
        </w:rPr>
        <w:t>Jodie Gray, chief executive</w:t>
      </w:r>
      <w:r w:rsidRPr="00142817">
        <w:rPr>
          <w:rFonts w:ascii="Lato" w:eastAsia="Calibri" w:hAnsi="Lato" w:cs="Arial"/>
          <w:b/>
          <w:bCs/>
          <w:color w:val="201F1E"/>
          <w:lang w:eastAsia="en-GB"/>
        </w:rPr>
        <w:t xml:space="preserve">, </w:t>
      </w:r>
      <w:r w:rsidRPr="000F5DA8">
        <w:rPr>
          <w:rFonts w:ascii="Lato" w:eastAsia="Calibri" w:hAnsi="Lato" w:cs="Arial"/>
          <w:b/>
          <w:bCs/>
          <w:color w:val="201F1E"/>
          <w:lang w:eastAsia="en-GB"/>
        </w:rPr>
        <w:t>English UK,</w:t>
      </w:r>
      <w:r w:rsidRPr="000F5DA8">
        <w:rPr>
          <w:rFonts w:ascii="Lato" w:eastAsia="Calibri" w:hAnsi="Lato" w:cs="Arial"/>
          <w:color w:val="201F1E"/>
          <w:lang w:eastAsia="en-GB"/>
        </w:rPr>
        <w:t xml:space="preserve"> said: “</w:t>
      </w:r>
      <w:r w:rsidRPr="000F5DA8">
        <w:rPr>
          <w:rFonts w:ascii="Lato" w:eastAsia="Calibri" w:hAnsi="Lato" w:cs="Arial"/>
          <w:i/>
          <w:iCs/>
          <w:color w:val="201F1E"/>
          <w:lang w:eastAsia="en-GB"/>
        </w:rPr>
        <w:t>Until Covid-19, the UK was a world leader in English language teaching, attracting more students than any of our global competitors, creating and supporting jobs at all levels all over the UK which brought at least £1</w:t>
      </w:r>
      <w:r w:rsidRPr="007D73F3">
        <w:rPr>
          <w:rFonts w:ascii="Lato" w:eastAsia="Calibri" w:hAnsi="Lato" w:cs="Arial"/>
          <w:i/>
          <w:iCs/>
          <w:color w:val="201F1E"/>
          <w:lang w:eastAsia="en-GB"/>
        </w:rPr>
        <w:t>.</w:t>
      </w:r>
      <w:r w:rsidRPr="000F5DA8">
        <w:rPr>
          <w:rFonts w:ascii="Lato" w:eastAsia="Calibri" w:hAnsi="Lato" w:cs="Arial"/>
          <w:i/>
          <w:iCs/>
          <w:color w:val="201F1E"/>
          <w:lang w:eastAsia="en-GB"/>
        </w:rPr>
        <w:t>4bn to our economy and huge soft power benefits.</w:t>
      </w:r>
    </w:p>
    <w:p w14:paraId="09533481" w14:textId="77777777" w:rsidR="000F5DA8" w:rsidRPr="000F5DA8" w:rsidRDefault="000F5DA8" w:rsidP="00142817">
      <w:pPr>
        <w:shd w:val="clear" w:color="auto" w:fill="FFFFFF"/>
        <w:spacing w:after="0" w:line="240" w:lineRule="auto"/>
        <w:rPr>
          <w:rFonts w:ascii="Lato" w:eastAsia="Calibri" w:hAnsi="Lato" w:cs="Calibri"/>
          <w:i/>
          <w:iCs/>
          <w:color w:val="201F1E"/>
          <w:lang w:eastAsia="en-GB"/>
        </w:rPr>
      </w:pPr>
    </w:p>
    <w:p w14:paraId="039AA3BD" w14:textId="5811F10F" w:rsidR="000F5DA8" w:rsidRPr="007D73F3" w:rsidRDefault="000F5DA8" w:rsidP="00142817">
      <w:pPr>
        <w:shd w:val="clear" w:color="auto" w:fill="FFFFFF"/>
        <w:spacing w:after="0" w:line="240" w:lineRule="auto"/>
        <w:rPr>
          <w:rFonts w:ascii="Lato" w:eastAsia="Calibri" w:hAnsi="Lato" w:cs="Arial"/>
          <w:i/>
          <w:iCs/>
          <w:color w:val="201F1E"/>
          <w:lang w:eastAsia="en-GB"/>
        </w:rPr>
      </w:pPr>
      <w:r w:rsidRPr="000F5DA8">
        <w:rPr>
          <w:rFonts w:ascii="Lato" w:eastAsia="Calibri" w:hAnsi="Lato" w:cs="Arial"/>
          <w:i/>
          <w:iCs/>
          <w:color w:val="201F1E"/>
          <w:lang w:eastAsia="en-GB"/>
        </w:rPr>
        <w:t xml:space="preserve">“But our teaching centres have been empty since they closed for face-to-face teaching to support the first lockdown in 2020, business was down at least 80 per cent last year, and travel restrictions look set to continue. Many centres have closed </w:t>
      </w:r>
      <w:proofErr w:type="gramStart"/>
      <w:r w:rsidRPr="000F5DA8">
        <w:rPr>
          <w:rFonts w:ascii="Lato" w:eastAsia="Calibri" w:hAnsi="Lato" w:cs="Arial"/>
          <w:i/>
          <w:iCs/>
          <w:color w:val="201F1E"/>
          <w:lang w:eastAsia="en-GB"/>
        </w:rPr>
        <w:t>forever</w:t>
      </w:r>
      <w:proofErr w:type="gramEnd"/>
      <w:r w:rsidRPr="000F5DA8">
        <w:rPr>
          <w:rFonts w:ascii="Lato" w:eastAsia="Calibri" w:hAnsi="Lato" w:cs="Arial"/>
          <w:i/>
          <w:iCs/>
          <w:color w:val="201F1E"/>
          <w:lang w:eastAsia="en-GB"/>
        </w:rPr>
        <w:t xml:space="preserve"> and we fear more will follow.</w:t>
      </w:r>
    </w:p>
    <w:p w14:paraId="4359AF21" w14:textId="77777777" w:rsidR="000F5DA8" w:rsidRPr="000F5DA8" w:rsidRDefault="000F5DA8" w:rsidP="00142817">
      <w:pPr>
        <w:shd w:val="clear" w:color="auto" w:fill="FFFFFF"/>
        <w:spacing w:after="0" w:line="240" w:lineRule="auto"/>
        <w:rPr>
          <w:rFonts w:ascii="Lato" w:eastAsia="Calibri" w:hAnsi="Lato" w:cs="Calibri"/>
          <w:i/>
          <w:iCs/>
          <w:color w:val="201F1E"/>
          <w:lang w:eastAsia="en-GB"/>
        </w:rPr>
      </w:pPr>
    </w:p>
    <w:p w14:paraId="5E8832CB" w14:textId="3A43DB2D" w:rsidR="000F5DA8" w:rsidRPr="007D73F3" w:rsidRDefault="000F5DA8" w:rsidP="00142817">
      <w:pPr>
        <w:shd w:val="clear" w:color="auto" w:fill="FFFFFF"/>
        <w:spacing w:after="0" w:line="240" w:lineRule="auto"/>
        <w:rPr>
          <w:rFonts w:ascii="Lato" w:eastAsia="Calibri" w:hAnsi="Lato" w:cs="Arial"/>
          <w:i/>
          <w:iCs/>
          <w:color w:val="201F1E"/>
          <w:lang w:eastAsia="en-GB"/>
        </w:rPr>
      </w:pPr>
      <w:r w:rsidRPr="007D73F3">
        <w:rPr>
          <w:rFonts w:ascii="Lato" w:eastAsia="Calibri" w:hAnsi="Lato" w:cs="Arial"/>
          <w:i/>
          <w:iCs/>
          <w:color w:val="201F1E"/>
          <w:lang w:eastAsia="en-GB"/>
        </w:rPr>
        <w:t>“</w:t>
      </w:r>
      <w:r w:rsidRPr="000F5DA8">
        <w:rPr>
          <w:rFonts w:ascii="Lato" w:eastAsia="Calibri" w:hAnsi="Lato" w:cs="Arial"/>
          <w:i/>
          <w:iCs/>
          <w:color w:val="201F1E"/>
          <w:lang w:eastAsia="en-GB"/>
        </w:rPr>
        <w:t>Our students come from all over the world because they want to learn English and travel in the UK. It is inexplicable that our industry cannot get the support extended to other hospitality and tourism businesses when it brings nothing but benefit to our nation.”</w:t>
      </w:r>
    </w:p>
    <w:p w14:paraId="583C2649" w14:textId="1695AFAA" w:rsidR="00142817" w:rsidRPr="00142817" w:rsidRDefault="00142817" w:rsidP="00142817">
      <w:pPr>
        <w:shd w:val="clear" w:color="auto" w:fill="FFFFFF"/>
        <w:spacing w:after="0" w:line="240" w:lineRule="auto"/>
        <w:rPr>
          <w:rFonts w:ascii="Lato" w:eastAsia="Calibri" w:hAnsi="Lato" w:cs="Arial"/>
          <w:color w:val="201F1E"/>
          <w:lang w:eastAsia="en-GB"/>
        </w:rPr>
      </w:pPr>
    </w:p>
    <w:p w14:paraId="6877AE98" w14:textId="7F7F3FA9" w:rsidR="00142817" w:rsidRPr="00142817" w:rsidRDefault="00142817" w:rsidP="00142817">
      <w:pPr>
        <w:shd w:val="clear" w:color="auto" w:fill="FFFFFF"/>
        <w:spacing w:after="0" w:line="240" w:lineRule="auto"/>
        <w:rPr>
          <w:rFonts w:ascii="Lato" w:eastAsia="Calibri" w:hAnsi="Lato" w:cs="Arial"/>
          <w:color w:val="201F1E"/>
          <w:lang w:eastAsia="en-GB"/>
        </w:rPr>
      </w:pPr>
      <w:r w:rsidRPr="00F80751">
        <w:rPr>
          <w:rFonts w:ascii="Lato" w:eastAsia="Calibri" w:hAnsi="Lato" w:cs="Arial"/>
          <w:b/>
          <w:bCs/>
          <w:color w:val="201F1E"/>
          <w:lang w:eastAsia="en-GB"/>
        </w:rPr>
        <w:t xml:space="preserve">Kurt Janson, Director, Tourism Alliance </w:t>
      </w:r>
      <w:r w:rsidRPr="00F80751">
        <w:rPr>
          <w:rFonts w:ascii="Lato" w:eastAsia="Calibri" w:hAnsi="Lato" w:cs="Arial"/>
          <w:color w:val="201F1E"/>
          <w:lang w:eastAsia="en-GB"/>
        </w:rPr>
        <w:t>said</w:t>
      </w:r>
      <w:r w:rsidRPr="00142817">
        <w:rPr>
          <w:rFonts w:ascii="Lato" w:eastAsia="Calibri" w:hAnsi="Lato" w:cs="Arial"/>
          <w:color w:val="201F1E"/>
          <w:lang w:eastAsia="en-GB"/>
        </w:rPr>
        <w:t xml:space="preserve"> </w:t>
      </w:r>
      <w:r w:rsidRPr="00142817">
        <w:rPr>
          <w:rFonts w:ascii="Lato" w:hAnsi="Lato"/>
          <w:i/>
          <w:iCs/>
        </w:rPr>
        <w:t>“Supporting these businesses is key to the success of the Government’s Aviation and Tourism Recovery Plans. Ramping up marketing activity in overseas source markets through VisitBritain and the GREAT campaign later this year will be of limited success if there are no events for people to come to, no tour operators to convert the interest and sell the product, if the language schools have closed, and if there are no coach companies to transport tour groups around the UK.”</w:t>
      </w:r>
    </w:p>
    <w:p w14:paraId="6C95128A" w14:textId="77777777" w:rsidR="00142817" w:rsidRPr="000F5DA8" w:rsidRDefault="00142817" w:rsidP="00142817">
      <w:pPr>
        <w:shd w:val="clear" w:color="auto" w:fill="FFFFFF"/>
        <w:spacing w:after="0" w:line="240" w:lineRule="auto"/>
        <w:rPr>
          <w:rFonts w:ascii="Lato" w:eastAsia="Calibri" w:hAnsi="Lato" w:cs="Calibri"/>
          <w:color w:val="201F1E"/>
          <w:lang w:eastAsia="en-GB"/>
        </w:rPr>
      </w:pPr>
    </w:p>
    <w:p w14:paraId="0EC49C04" w14:textId="2CC8F17B" w:rsidR="00142817" w:rsidRPr="00142817" w:rsidRDefault="00142817" w:rsidP="00142817">
      <w:pPr>
        <w:pStyle w:val="gmail-p1"/>
        <w:spacing w:before="0" w:beforeAutospacing="0" w:after="0" w:afterAutospacing="0"/>
        <w:rPr>
          <w:rFonts w:ascii="Lato" w:hAnsi="Lato" w:cs="Arial"/>
        </w:rPr>
      </w:pPr>
      <w:r w:rsidRPr="00F80751">
        <w:rPr>
          <w:rFonts w:ascii="Lato" w:hAnsi="Lato" w:cs="Arial"/>
          <w:b/>
          <w:bCs/>
        </w:rPr>
        <w:t>Robert Shaw, chair, Coach Tourism Association,</w:t>
      </w:r>
      <w:r w:rsidRPr="00142817">
        <w:rPr>
          <w:rFonts w:ascii="Lato" w:hAnsi="Lato" w:cs="Arial"/>
        </w:rPr>
        <w:t xml:space="preserve"> said “</w:t>
      </w:r>
      <w:r w:rsidRPr="00F80751">
        <w:rPr>
          <w:rFonts w:ascii="Lato" w:hAnsi="Lato" w:cs="Arial"/>
          <w:i/>
          <w:iCs/>
        </w:rPr>
        <w:t xml:space="preserve">Direct government support to coach tour operators during the pandemic has been patchy at best, with many </w:t>
      </w:r>
      <w:proofErr w:type="gramStart"/>
      <w:r w:rsidRPr="00F80751">
        <w:rPr>
          <w:rFonts w:ascii="Lato" w:hAnsi="Lato" w:cs="Arial"/>
          <w:i/>
          <w:iCs/>
        </w:rPr>
        <w:t>left</w:t>
      </w:r>
      <w:proofErr w:type="gramEnd"/>
      <w:r w:rsidRPr="00F80751">
        <w:rPr>
          <w:rFonts w:ascii="Lato" w:hAnsi="Lato" w:cs="Arial"/>
          <w:i/>
          <w:iCs/>
        </w:rPr>
        <w:t xml:space="preserve"> to cope without any significant support beyond furlough since the first lockdown. Our sector’s customers will be desperate to take coach holidays once it becomes safe to travel again, and it is vital that coach businesses are able to meet that need and continue delivering tourists and their significant spending power to destinations and regions across the UK.”</w:t>
      </w:r>
    </w:p>
    <w:p w14:paraId="230FBBFF" w14:textId="10CAA210" w:rsidR="00F77322" w:rsidRPr="00142817" w:rsidRDefault="00F77322" w:rsidP="00142817">
      <w:pPr>
        <w:spacing w:after="0" w:line="240" w:lineRule="auto"/>
        <w:jc w:val="both"/>
        <w:rPr>
          <w:rFonts w:ascii="Lato" w:hAnsi="Lato"/>
        </w:rPr>
      </w:pPr>
    </w:p>
    <w:p w14:paraId="3BDAEE2C" w14:textId="6BC1F7C3" w:rsidR="00142817" w:rsidRPr="00142817" w:rsidRDefault="00142817" w:rsidP="00142817">
      <w:pPr>
        <w:spacing w:after="0" w:line="240" w:lineRule="auto"/>
        <w:rPr>
          <w:rFonts w:ascii="Lato" w:eastAsia="Times New Roman" w:hAnsi="Lato"/>
        </w:rPr>
      </w:pPr>
      <w:r w:rsidRPr="00F80751">
        <w:rPr>
          <w:rFonts w:ascii="Lato" w:eastAsia="Times New Roman" w:hAnsi="Lato"/>
          <w:b/>
          <w:bCs/>
        </w:rPr>
        <w:t>Simon Hughes, chairman, Business Visits and Events Partnership</w:t>
      </w:r>
      <w:r w:rsidRPr="00142817">
        <w:rPr>
          <w:rFonts w:ascii="Lato" w:eastAsia="Times New Roman" w:hAnsi="Lato"/>
        </w:rPr>
        <w:t xml:space="preserve"> said “</w:t>
      </w:r>
      <w:r w:rsidRPr="00F80751">
        <w:rPr>
          <w:rFonts w:ascii="Lato" w:eastAsia="Times New Roman" w:hAnsi="Lato"/>
          <w:i/>
          <w:iCs/>
        </w:rPr>
        <w:t xml:space="preserve">Event organisers have fallen through the cracks of government support. Yet they are the core of a £70 billion industry sector which employs 700,000 people. Many are small and individual businesses that do not have the means to survive a period of trading inactivity, that is already nearly 12 months long and could last well into the latter part of 2021. Given </w:t>
      </w:r>
      <w:r w:rsidRPr="00F80751">
        <w:rPr>
          <w:rFonts w:ascii="Lato" w:hAnsi="Lato"/>
          <w:i/>
          <w:iCs/>
        </w:rPr>
        <w:t>that there are over 5 million inbound visits to the UK annually to attend a business event, generating a spend of £3.5 billion, providing adequate support to event organisers is critical to the economic recovery of the UK</w:t>
      </w:r>
      <w:r w:rsidRPr="00142817">
        <w:rPr>
          <w:rFonts w:ascii="Lato" w:hAnsi="Lato"/>
        </w:rPr>
        <w:t>.”</w:t>
      </w:r>
    </w:p>
    <w:p w14:paraId="66A6DD52" w14:textId="77777777" w:rsidR="00533E19" w:rsidRPr="00142817" w:rsidRDefault="00533E19" w:rsidP="00142817">
      <w:pPr>
        <w:spacing w:after="0" w:line="240" w:lineRule="auto"/>
        <w:jc w:val="both"/>
        <w:rPr>
          <w:rFonts w:ascii="Lato" w:hAnsi="Lato"/>
          <w:lang w:val="en-US"/>
        </w:rPr>
      </w:pPr>
    </w:p>
    <w:p w14:paraId="6B07C4DE" w14:textId="54326B60" w:rsidR="003713B4" w:rsidRPr="00142817" w:rsidRDefault="006104B1" w:rsidP="000E682F">
      <w:pPr>
        <w:pStyle w:val="BodyA"/>
        <w:shd w:val="clear" w:color="auto" w:fill="FFFFFF"/>
        <w:spacing w:after="0" w:line="240" w:lineRule="auto"/>
        <w:jc w:val="center"/>
        <w:rPr>
          <w:rFonts w:ascii="Lato" w:hAnsi="Lato" w:cstheme="minorHAnsi"/>
          <w:b/>
          <w:bCs/>
          <w:lang w:val="en-GB"/>
        </w:rPr>
      </w:pPr>
      <w:r w:rsidRPr="00142817">
        <w:rPr>
          <w:rFonts w:ascii="Lato" w:hAnsi="Lato"/>
        </w:rPr>
        <w:t xml:space="preserve">. </w:t>
      </w:r>
      <w:r w:rsidR="00FD16B7" w:rsidRPr="00142817">
        <w:rPr>
          <w:rFonts w:ascii="Lato" w:hAnsi="Lato" w:cstheme="minorHAnsi"/>
          <w:b/>
          <w:bCs/>
          <w:lang w:val="en-GB"/>
        </w:rPr>
        <w:t>-ENDS-</w:t>
      </w:r>
    </w:p>
    <w:p w14:paraId="38F89D40" w14:textId="1B6A32FA" w:rsidR="00CA3640" w:rsidRPr="004E7D1A" w:rsidRDefault="003713B4" w:rsidP="00142817">
      <w:pPr>
        <w:pStyle w:val="BodyA"/>
        <w:shd w:val="clear" w:color="auto" w:fill="FFFFFF"/>
        <w:spacing w:after="0" w:line="240" w:lineRule="auto"/>
        <w:rPr>
          <w:rFonts w:ascii="Lato" w:hAnsi="Lato" w:cstheme="minorHAnsi"/>
          <w:b/>
          <w:bCs/>
          <w:lang w:val="en-GB"/>
        </w:rPr>
      </w:pPr>
      <w:r w:rsidRPr="004E7D1A">
        <w:rPr>
          <w:rFonts w:ascii="Lato" w:hAnsi="Lato" w:cstheme="minorHAnsi"/>
          <w:b/>
          <w:bCs/>
          <w:lang w:val="en-GB"/>
        </w:rPr>
        <w:t xml:space="preserve">Notes to editors: </w:t>
      </w:r>
    </w:p>
    <w:p w14:paraId="16F30994" w14:textId="79022659" w:rsidR="004E7D1A" w:rsidRPr="004E7D1A" w:rsidRDefault="004E7D1A" w:rsidP="004E7D1A">
      <w:pPr>
        <w:pStyle w:val="ListParagraph"/>
        <w:numPr>
          <w:ilvl w:val="0"/>
          <w:numId w:val="17"/>
        </w:numPr>
        <w:spacing w:after="0" w:line="240" w:lineRule="auto"/>
        <w:ind w:left="714" w:hanging="357"/>
        <w:rPr>
          <w:rFonts w:ascii="Lato" w:hAnsi="Lato"/>
        </w:rPr>
      </w:pPr>
      <w:r w:rsidRPr="004E7D1A">
        <w:rPr>
          <w:rFonts w:ascii="Lato" w:hAnsi="Lato"/>
        </w:rPr>
        <w:t>Government will say that these businesses are eligible for the Additional Restrictions Grant (ARG) but it has not instructed local councils to provide ARG funding to these businesses</w:t>
      </w:r>
      <w:r>
        <w:rPr>
          <w:rFonts w:ascii="Lato" w:hAnsi="Lato"/>
        </w:rPr>
        <w:t xml:space="preserve">, so they will not receive this support either </w:t>
      </w:r>
    </w:p>
    <w:p w14:paraId="5FD23C21" w14:textId="311BEA2A" w:rsidR="00CA3640" w:rsidRPr="004E7D1A" w:rsidRDefault="00CA3640" w:rsidP="004E7D1A">
      <w:pPr>
        <w:pStyle w:val="BodyA"/>
        <w:numPr>
          <w:ilvl w:val="0"/>
          <w:numId w:val="17"/>
        </w:numPr>
        <w:shd w:val="clear" w:color="auto" w:fill="FFFFFF"/>
        <w:spacing w:after="0" w:line="240" w:lineRule="auto"/>
        <w:ind w:left="714" w:hanging="357"/>
        <w:rPr>
          <w:rFonts w:ascii="Lato" w:hAnsi="Lato" w:cstheme="minorHAnsi"/>
          <w:lang w:val="en-GB"/>
        </w:rPr>
      </w:pPr>
      <w:r w:rsidRPr="004E7D1A">
        <w:rPr>
          <w:rFonts w:ascii="Lato" w:hAnsi="Lato" w:cstheme="minorHAnsi"/>
          <w:lang w:val="en-GB"/>
        </w:rPr>
        <w:t xml:space="preserve">In addition to the sectors outlined above, Contract Caterers and Travelling Fairground Operators have also been excluded from these support </w:t>
      </w:r>
      <w:proofErr w:type="gramStart"/>
      <w:r w:rsidRPr="004E7D1A">
        <w:rPr>
          <w:rFonts w:ascii="Lato" w:hAnsi="Lato" w:cstheme="minorHAnsi"/>
          <w:lang w:val="en-GB"/>
        </w:rPr>
        <w:t>mechanics</w:t>
      </w:r>
      <w:proofErr w:type="gramEnd"/>
      <w:r w:rsidR="002221F2" w:rsidRPr="004E7D1A">
        <w:rPr>
          <w:rFonts w:ascii="Lato" w:hAnsi="Lato" w:cstheme="minorHAnsi"/>
          <w:lang w:val="en-GB"/>
        </w:rPr>
        <w:t xml:space="preserve"> </w:t>
      </w:r>
    </w:p>
    <w:p w14:paraId="57A3F195" w14:textId="6CABE648" w:rsidR="00E63F12" w:rsidRPr="004E7D1A" w:rsidRDefault="003713B4" w:rsidP="004E7D1A">
      <w:pPr>
        <w:pStyle w:val="BodyA"/>
        <w:numPr>
          <w:ilvl w:val="0"/>
          <w:numId w:val="17"/>
        </w:numPr>
        <w:shd w:val="clear" w:color="auto" w:fill="FFFFFF"/>
        <w:spacing w:after="0" w:line="240" w:lineRule="auto"/>
        <w:ind w:left="714" w:hanging="357"/>
        <w:rPr>
          <w:rFonts w:ascii="Lato" w:hAnsi="Lato" w:cstheme="minorHAnsi"/>
          <w:lang w:val="en-GB"/>
        </w:rPr>
      </w:pPr>
      <w:r w:rsidRPr="004E7D1A">
        <w:rPr>
          <w:rFonts w:ascii="Lato" w:hAnsi="Lato" w:cstheme="minorHAnsi"/>
          <w:lang w:val="en-GB"/>
        </w:rPr>
        <w:t>In March 2020 the Government announced business rates relief and grants for businesses, including those in the retail, hospitality and leisure sectors, due to C</w:t>
      </w:r>
      <w:r w:rsidR="009C338B" w:rsidRPr="004E7D1A">
        <w:rPr>
          <w:rFonts w:ascii="Lato" w:hAnsi="Lato" w:cstheme="minorHAnsi"/>
          <w:lang w:val="en-GB"/>
        </w:rPr>
        <w:t>ovid</w:t>
      </w:r>
      <w:r w:rsidRPr="004E7D1A">
        <w:rPr>
          <w:rFonts w:ascii="Lato" w:hAnsi="Lato" w:cstheme="minorHAnsi"/>
          <w:lang w:val="en-GB"/>
        </w:rPr>
        <w:t>-</w:t>
      </w:r>
      <w:proofErr w:type="gramStart"/>
      <w:r w:rsidRPr="004E7D1A">
        <w:rPr>
          <w:rFonts w:ascii="Lato" w:hAnsi="Lato" w:cstheme="minorHAnsi"/>
          <w:lang w:val="en-GB"/>
        </w:rPr>
        <w:t>19</w:t>
      </w:r>
      <w:proofErr w:type="gramEnd"/>
    </w:p>
    <w:p w14:paraId="1EA1D2CD" w14:textId="1BF7A77F" w:rsidR="003713B4" w:rsidRPr="00142817" w:rsidRDefault="003713B4" w:rsidP="004E7D1A">
      <w:pPr>
        <w:pStyle w:val="BodyA"/>
        <w:numPr>
          <w:ilvl w:val="0"/>
          <w:numId w:val="17"/>
        </w:numPr>
        <w:shd w:val="clear" w:color="auto" w:fill="FFFFFF"/>
        <w:spacing w:after="0" w:line="240" w:lineRule="auto"/>
        <w:ind w:left="714" w:hanging="357"/>
        <w:rPr>
          <w:rFonts w:ascii="Lato" w:hAnsi="Lato" w:cstheme="minorHAnsi"/>
          <w:lang w:val="en-GB"/>
        </w:rPr>
      </w:pPr>
      <w:r w:rsidRPr="004E7D1A">
        <w:rPr>
          <w:rFonts w:ascii="Lato" w:hAnsi="Lato" w:cstheme="minorHAnsi"/>
          <w:lang w:val="en-GB"/>
        </w:rPr>
        <w:t>These relief packages were</w:t>
      </w:r>
      <w:r w:rsidRPr="00142817">
        <w:rPr>
          <w:rFonts w:ascii="Lato" w:hAnsi="Lato" w:cstheme="minorHAnsi"/>
          <w:lang w:val="en-GB"/>
        </w:rPr>
        <w:t xml:space="preserve"> distributed </w:t>
      </w:r>
      <w:r w:rsidR="00E63F12" w:rsidRPr="00142817">
        <w:rPr>
          <w:rFonts w:ascii="Lato" w:hAnsi="Lato" w:cstheme="minorHAnsi"/>
          <w:lang w:val="en-GB"/>
        </w:rPr>
        <w:t>to businesses via their</w:t>
      </w:r>
      <w:r w:rsidR="009C338B" w:rsidRPr="00142817">
        <w:rPr>
          <w:rFonts w:ascii="Lato" w:hAnsi="Lato" w:cstheme="minorHAnsi"/>
          <w:lang w:val="en-GB"/>
        </w:rPr>
        <w:t xml:space="preserve"> local</w:t>
      </w:r>
      <w:r w:rsidRPr="00142817">
        <w:rPr>
          <w:rFonts w:ascii="Lato" w:hAnsi="Lato" w:cstheme="minorHAnsi"/>
          <w:lang w:val="en-GB"/>
        </w:rPr>
        <w:t xml:space="preserve"> councils, with guidance </w:t>
      </w:r>
      <w:r w:rsidR="00E63F12" w:rsidRPr="00142817">
        <w:rPr>
          <w:rFonts w:ascii="Lato" w:hAnsi="Lato" w:cstheme="minorHAnsi"/>
          <w:lang w:val="en-GB"/>
        </w:rPr>
        <w:t xml:space="preserve">on distribution </w:t>
      </w:r>
      <w:r w:rsidRPr="00142817">
        <w:rPr>
          <w:rFonts w:ascii="Lato" w:hAnsi="Lato" w:cstheme="minorHAnsi"/>
          <w:lang w:val="en-GB"/>
        </w:rPr>
        <w:t>provided to them via Government and the Local Government Association</w:t>
      </w:r>
    </w:p>
    <w:p w14:paraId="7FDFF9F7" w14:textId="18BB0C40" w:rsidR="00E63F12" w:rsidRPr="00142817" w:rsidRDefault="00E63F12" w:rsidP="004E7D1A">
      <w:pPr>
        <w:pStyle w:val="BodyA"/>
        <w:numPr>
          <w:ilvl w:val="0"/>
          <w:numId w:val="17"/>
        </w:numPr>
        <w:shd w:val="clear" w:color="auto" w:fill="FFFFFF"/>
        <w:spacing w:after="0" w:line="240" w:lineRule="auto"/>
        <w:ind w:left="714" w:hanging="357"/>
        <w:rPr>
          <w:rFonts w:ascii="Lato" w:hAnsi="Lato" w:cstheme="minorHAnsi"/>
          <w:lang w:val="en-GB"/>
        </w:rPr>
      </w:pPr>
      <w:r w:rsidRPr="00142817">
        <w:rPr>
          <w:rFonts w:ascii="Lato" w:hAnsi="Lato" w:cstheme="minorHAnsi"/>
          <w:lang w:val="en-GB"/>
        </w:rPr>
        <w:t xml:space="preserve">How to distribute support was at local councils’ discretion but they were instructed to follow the guidance </w:t>
      </w:r>
    </w:p>
    <w:p w14:paraId="0516E26D" w14:textId="13E549B4" w:rsidR="00E63F12" w:rsidRPr="00142817" w:rsidRDefault="00E63F12" w:rsidP="004E7D1A">
      <w:pPr>
        <w:pStyle w:val="BodyA"/>
        <w:numPr>
          <w:ilvl w:val="0"/>
          <w:numId w:val="17"/>
        </w:numPr>
        <w:shd w:val="clear" w:color="auto" w:fill="FFFFFF"/>
        <w:spacing w:after="0" w:line="240" w:lineRule="auto"/>
        <w:ind w:left="714" w:hanging="357"/>
        <w:rPr>
          <w:rFonts w:ascii="Lato" w:hAnsi="Lato" w:cstheme="minorHAnsi"/>
          <w:lang w:val="en-GB"/>
        </w:rPr>
      </w:pPr>
      <w:r w:rsidRPr="00142817">
        <w:rPr>
          <w:rFonts w:ascii="Lato" w:hAnsi="Lato" w:cstheme="minorHAnsi"/>
          <w:lang w:val="en-GB"/>
        </w:rPr>
        <w:t xml:space="preserve">The guidance included examples of businesses that should qualify but did not outline businesses that should not </w:t>
      </w:r>
      <w:proofErr w:type="gramStart"/>
      <w:r w:rsidRPr="00142817">
        <w:rPr>
          <w:rFonts w:ascii="Lato" w:hAnsi="Lato" w:cstheme="minorHAnsi"/>
          <w:lang w:val="en-GB"/>
        </w:rPr>
        <w:t>qualify</w:t>
      </w:r>
      <w:proofErr w:type="gramEnd"/>
    </w:p>
    <w:p w14:paraId="032A3B67" w14:textId="0A72A954" w:rsidR="00E63F12" w:rsidRPr="00142817" w:rsidRDefault="00E63F12" w:rsidP="004E7D1A">
      <w:pPr>
        <w:pStyle w:val="BodyA"/>
        <w:numPr>
          <w:ilvl w:val="0"/>
          <w:numId w:val="17"/>
        </w:numPr>
        <w:shd w:val="clear" w:color="auto" w:fill="FFFFFF"/>
        <w:spacing w:after="0" w:line="240" w:lineRule="auto"/>
        <w:ind w:left="714" w:hanging="357"/>
        <w:rPr>
          <w:rFonts w:ascii="Lato" w:hAnsi="Lato" w:cstheme="minorHAnsi"/>
          <w:lang w:val="en-GB"/>
        </w:rPr>
      </w:pPr>
      <w:r w:rsidRPr="00142817">
        <w:rPr>
          <w:rFonts w:ascii="Lato" w:hAnsi="Lato" w:cstheme="minorHAnsi"/>
          <w:lang w:val="en-GB"/>
        </w:rPr>
        <w:t xml:space="preserve">Since March, any support mechanism that has been distributed through a local council has seen vast numbers of tourism businesses </w:t>
      </w:r>
      <w:proofErr w:type="gramStart"/>
      <w:r w:rsidRPr="00142817">
        <w:rPr>
          <w:rFonts w:ascii="Lato" w:hAnsi="Lato" w:cstheme="minorHAnsi"/>
          <w:lang w:val="en-GB"/>
        </w:rPr>
        <w:t>excluded</w:t>
      </w:r>
      <w:proofErr w:type="gramEnd"/>
      <w:r w:rsidRPr="00142817">
        <w:rPr>
          <w:rFonts w:ascii="Lato" w:hAnsi="Lato" w:cstheme="minorHAnsi"/>
          <w:lang w:val="en-GB"/>
        </w:rPr>
        <w:t xml:space="preserve"> </w:t>
      </w:r>
    </w:p>
    <w:p w14:paraId="5A403FC5" w14:textId="67C3423F" w:rsidR="00205490" w:rsidRPr="00142817" w:rsidRDefault="00E63F12" w:rsidP="004E7D1A">
      <w:pPr>
        <w:pStyle w:val="BodyA"/>
        <w:numPr>
          <w:ilvl w:val="0"/>
          <w:numId w:val="17"/>
        </w:numPr>
        <w:shd w:val="clear" w:color="auto" w:fill="FFFFFF"/>
        <w:spacing w:after="0" w:line="240" w:lineRule="auto"/>
        <w:ind w:left="714" w:hanging="357"/>
        <w:rPr>
          <w:rFonts w:ascii="Lato" w:hAnsi="Lato" w:cstheme="minorHAnsi"/>
          <w:lang w:val="en-GB"/>
        </w:rPr>
      </w:pPr>
      <w:r w:rsidRPr="00142817">
        <w:rPr>
          <w:rFonts w:ascii="Lato" w:hAnsi="Lato"/>
        </w:rPr>
        <w:t xml:space="preserve">Since the beginning of England’s third lockdown from the </w:t>
      </w:r>
      <w:r w:rsidR="00DB0A42">
        <w:rPr>
          <w:rFonts w:ascii="Lato" w:hAnsi="Lato"/>
        </w:rPr>
        <w:t>4</w:t>
      </w:r>
      <w:r w:rsidR="00DB0A42" w:rsidRPr="00DB0A42">
        <w:rPr>
          <w:rFonts w:ascii="Lato" w:hAnsi="Lato"/>
          <w:vertAlign w:val="superscript"/>
        </w:rPr>
        <w:t>th</w:t>
      </w:r>
      <w:r w:rsidR="00DB0A42">
        <w:rPr>
          <w:rFonts w:ascii="Lato" w:hAnsi="Lato"/>
        </w:rPr>
        <w:t xml:space="preserve"> </w:t>
      </w:r>
      <w:r w:rsidRPr="00142817">
        <w:rPr>
          <w:rFonts w:ascii="Lato" w:hAnsi="Lato"/>
        </w:rPr>
        <w:t xml:space="preserve">January 2021, the Government has announced further support </w:t>
      </w:r>
      <w:r w:rsidR="007E24F0" w:rsidRPr="00142817">
        <w:rPr>
          <w:rFonts w:ascii="Lato" w:hAnsi="Lato"/>
        </w:rPr>
        <w:t>mechanisms including</w:t>
      </w:r>
      <w:r w:rsidRPr="00142817">
        <w:rPr>
          <w:rFonts w:ascii="Lato" w:hAnsi="Lato"/>
        </w:rPr>
        <w:t xml:space="preserve"> Business Grants, LRSG (Closed) Addendum and Business Rates Relief</w:t>
      </w:r>
      <w:r w:rsidR="007E24F0" w:rsidRPr="00142817">
        <w:rPr>
          <w:rFonts w:ascii="Lato" w:hAnsi="Lato"/>
        </w:rPr>
        <w:t>, which offer businesses a range of financial support</w:t>
      </w:r>
    </w:p>
    <w:p w14:paraId="18823C63" w14:textId="36927709" w:rsidR="00E63F12" w:rsidRPr="00142817" w:rsidRDefault="00E63F12" w:rsidP="004E7D1A">
      <w:pPr>
        <w:pStyle w:val="BodyA"/>
        <w:numPr>
          <w:ilvl w:val="0"/>
          <w:numId w:val="17"/>
        </w:numPr>
        <w:shd w:val="clear" w:color="auto" w:fill="FFFFFF"/>
        <w:spacing w:after="0" w:line="240" w:lineRule="auto"/>
        <w:ind w:left="714" w:hanging="357"/>
        <w:rPr>
          <w:rFonts w:ascii="Lato" w:hAnsi="Lato" w:cstheme="minorHAnsi"/>
          <w:lang w:val="en-GB"/>
        </w:rPr>
      </w:pPr>
      <w:r w:rsidRPr="00142817">
        <w:rPr>
          <w:rFonts w:ascii="Lato" w:hAnsi="Lato"/>
        </w:rPr>
        <w:t xml:space="preserve">The guidance to local councils still </w:t>
      </w:r>
      <w:r w:rsidR="009C338B" w:rsidRPr="00142817">
        <w:rPr>
          <w:rFonts w:ascii="Lato" w:hAnsi="Lato"/>
        </w:rPr>
        <w:t xml:space="preserve">noy been changes and therefore many tourism businesses cannot </w:t>
      </w:r>
      <w:r w:rsidRPr="00142817">
        <w:rPr>
          <w:rFonts w:ascii="Lato" w:hAnsi="Lato"/>
        </w:rPr>
        <w:t xml:space="preserve">access </w:t>
      </w:r>
      <w:proofErr w:type="gramStart"/>
      <w:r w:rsidRPr="00142817">
        <w:rPr>
          <w:rFonts w:ascii="Lato" w:hAnsi="Lato"/>
        </w:rPr>
        <w:t>support</w:t>
      </w:r>
      <w:proofErr w:type="gramEnd"/>
      <w:r w:rsidRPr="00142817">
        <w:rPr>
          <w:rFonts w:ascii="Lato" w:hAnsi="Lato"/>
        </w:rPr>
        <w:t xml:space="preserve"> </w:t>
      </w:r>
    </w:p>
    <w:p w14:paraId="7C29A533" w14:textId="77777777" w:rsidR="003369AA" w:rsidRPr="00142817" w:rsidRDefault="003369AA" w:rsidP="00142817">
      <w:pPr>
        <w:pStyle w:val="BodyA"/>
        <w:shd w:val="clear" w:color="auto" w:fill="FFFFFF"/>
        <w:spacing w:after="0" w:line="240" w:lineRule="auto"/>
        <w:jc w:val="center"/>
        <w:rPr>
          <w:rFonts w:ascii="Lato" w:hAnsi="Lato" w:cstheme="minorHAnsi"/>
          <w:color w:val="auto"/>
          <w:lang w:val="en-GB"/>
        </w:rPr>
      </w:pPr>
    </w:p>
    <w:p w14:paraId="1283D49A" w14:textId="77777777" w:rsidR="00FD16B7" w:rsidRPr="00142817" w:rsidRDefault="00FD16B7" w:rsidP="00142817">
      <w:pPr>
        <w:pStyle w:val="BodyA"/>
        <w:spacing w:after="0" w:line="240" w:lineRule="auto"/>
        <w:jc w:val="center"/>
        <w:rPr>
          <w:rFonts w:ascii="Lato" w:hAnsi="Lato"/>
          <w:b/>
          <w:bCs/>
          <w:lang w:val="en-GB"/>
        </w:rPr>
      </w:pPr>
      <w:r w:rsidRPr="00142817">
        <w:rPr>
          <w:rFonts w:ascii="Lato" w:hAnsi="Lato"/>
          <w:b/>
          <w:bCs/>
          <w:lang w:val="en-GB"/>
        </w:rPr>
        <w:t xml:space="preserve">For further information, contact Lauren </w:t>
      </w:r>
      <w:proofErr w:type="gramStart"/>
      <w:r w:rsidRPr="00142817">
        <w:rPr>
          <w:rFonts w:ascii="Lato" w:hAnsi="Lato"/>
          <w:b/>
          <w:bCs/>
          <w:lang w:val="en-GB"/>
        </w:rPr>
        <w:t>Broughton</w:t>
      </w:r>
      <w:proofErr w:type="gramEnd"/>
      <w:r w:rsidRPr="00142817">
        <w:rPr>
          <w:rFonts w:ascii="Lato" w:hAnsi="Lato"/>
          <w:b/>
          <w:bCs/>
          <w:lang w:val="en-GB"/>
        </w:rPr>
        <w:t xml:space="preserve"> </w:t>
      </w:r>
    </w:p>
    <w:p w14:paraId="667FCFD7" w14:textId="03509943" w:rsidR="00FD16B7" w:rsidRPr="00142817" w:rsidRDefault="00E743AC" w:rsidP="00142817">
      <w:pPr>
        <w:pStyle w:val="BodyA"/>
        <w:spacing w:after="0" w:line="240" w:lineRule="auto"/>
        <w:jc w:val="center"/>
        <w:rPr>
          <w:rStyle w:val="None"/>
          <w:rFonts w:ascii="Lato" w:hAnsi="Lato"/>
        </w:rPr>
      </w:pPr>
      <w:hyperlink r:id="rId25" w:history="1">
        <w:r w:rsidR="00FD16B7" w:rsidRPr="00142817">
          <w:rPr>
            <w:rStyle w:val="Hyperlink"/>
            <w:rFonts w:ascii="Lato" w:hAnsi="Lato"/>
            <w:lang w:val="en-GB"/>
          </w:rPr>
          <w:t>lauren.broughton@ukinbound.org</w:t>
        </w:r>
      </w:hyperlink>
      <w:r w:rsidR="00FD16B7" w:rsidRPr="00142817">
        <w:rPr>
          <w:rFonts w:ascii="Lato" w:hAnsi="Lato"/>
          <w:lang w:val="en-GB"/>
        </w:rPr>
        <w:t xml:space="preserve"> </w:t>
      </w:r>
      <w:r w:rsidR="00FD16B7" w:rsidRPr="00142817">
        <w:rPr>
          <w:rStyle w:val="None"/>
          <w:rFonts w:ascii="Lato" w:hAnsi="Lato"/>
          <w:color w:val="444444"/>
          <w:lang w:val="en-GB"/>
        </w:rPr>
        <w:t>|</w:t>
      </w:r>
      <w:r w:rsidR="00FD16B7" w:rsidRPr="00142817">
        <w:rPr>
          <w:rFonts w:ascii="Lato" w:hAnsi="Lato"/>
          <w:bCs/>
          <w:lang w:val="en-GB"/>
        </w:rPr>
        <w:t xml:space="preserve"> + 44 (0) 7725 865 063 </w:t>
      </w:r>
      <w:r w:rsidR="00FD16B7" w:rsidRPr="00142817">
        <w:rPr>
          <w:rStyle w:val="None"/>
          <w:rFonts w:ascii="Lato" w:hAnsi="Lato"/>
          <w:lang w:val="en-GB"/>
        </w:rPr>
        <w:t xml:space="preserve"> </w:t>
      </w:r>
    </w:p>
    <w:p w14:paraId="50555846" w14:textId="77777777" w:rsidR="00FD16B7" w:rsidRPr="00142817" w:rsidRDefault="00FD16B7" w:rsidP="00142817">
      <w:pPr>
        <w:pStyle w:val="BodyA"/>
        <w:shd w:val="clear" w:color="auto" w:fill="FFFFFF"/>
        <w:spacing w:after="0" w:line="240" w:lineRule="auto"/>
        <w:jc w:val="center"/>
        <w:rPr>
          <w:rStyle w:val="None"/>
          <w:rFonts w:ascii="Lato" w:eastAsia="Arial" w:hAnsi="Lato" w:cstheme="minorHAnsi"/>
          <w:color w:val="auto"/>
          <w:lang w:val="en-GB"/>
        </w:rPr>
      </w:pPr>
    </w:p>
    <w:p w14:paraId="7A06B803" w14:textId="041378B8" w:rsidR="00323078" w:rsidRPr="00142817" w:rsidRDefault="00323078" w:rsidP="00142817">
      <w:pPr>
        <w:spacing w:after="0" w:line="240" w:lineRule="auto"/>
        <w:jc w:val="both"/>
        <w:rPr>
          <w:rFonts w:ascii="Lato" w:hAnsi="Lato"/>
        </w:rPr>
      </w:pPr>
    </w:p>
    <w:p w14:paraId="3FA66BAD" w14:textId="6E7DB100" w:rsidR="009E7D3D" w:rsidRPr="00142817" w:rsidRDefault="009E7D3D" w:rsidP="00142817">
      <w:pPr>
        <w:spacing w:after="0" w:line="240" w:lineRule="auto"/>
        <w:rPr>
          <w:rFonts w:ascii="Lato" w:hAnsi="Lato"/>
        </w:rPr>
      </w:pPr>
    </w:p>
    <w:p w14:paraId="66FC2F14" w14:textId="77777777" w:rsidR="009E7D3D" w:rsidRPr="00142817" w:rsidRDefault="009E7D3D" w:rsidP="00142817">
      <w:pPr>
        <w:spacing w:after="0" w:line="240" w:lineRule="auto"/>
        <w:rPr>
          <w:rFonts w:ascii="Lato" w:hAnsi="Lato"/>
        </w:rPr>
      </w:pPr>
    </w:p>
    <w:sectPr w:rsidR="009E7D3D" w:rsidRPr="001428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F83D0" w14:textId="77777777" w:rsidR="00E743AC" w:rsidRDefault="00E743AC" w:rsidP="003A2610">
      <w:pPr>
        <w:spacing w:after="0" w:line="240" w:lineRule="auto"/>
      </w:pPr>
      <w:r>
        <w:separator/>
      </w:r>
    </w:p>
  </w:endnote>
  <w:endnote w:type="continuationSeparator" w:id="0">
    <w:p w14:paraId="1CE9B1F3" w14:textId="77777777" w:rsidR="00E743AC" w:rsidRDefault="00E743AC" w:rsidP="003A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7B1B1" w14:textId="77777777" w:rsidR="00E743AC" w:rsidRDefault="00E743AC" w:rsidP="003A2610">
      <w:pPr>
        <w:spacing w:after="0" w:line="240" w:lineRule="auto"/>
      </w:pPr>
      <w:r>
        <w:separator/>
      </w:r>
    </w:p>
  </w:footnote>
  <w:footnote w:type="continuationSeparator" w:id="0">
    <w:p w14:paraId="65B62165" w14:textId="77777777" w:rsidR="00E743AC" w:rsidRDefault="00E743AC" w:rsidP="003A2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D4FC16"/>
    <w:multiLevelType w:val="hybridMultilevel"/>
    <w:tmpl w:val="071269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E7B80"/>
    <w:multiLevelType w:val="hybridMultilevel"/>
    <w:tmpl w:val="82A438E0"/>
    <w:lvl w:ilvl="0" w:tplc="468CB67E">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C54B59"/>
    <w:multiLevelType w:val="hybridMultilevel"/>
    <w:tmpl w:val="E34A23A8"/>
    <w:lvl w:ilvl="0" w:tplc="502E4654">
      <w:start w:val="1"/>
      <w:numFmt w:val="decimal"/>
      <w:lvlText w:val="%1)"/>
      <w:lvlJc w:val="left"/>
      <w:pPr>
        <w:ind w:left="720" w:hanging="360"/>
      </w:pPr>
      <w:rPr>
        <w:rFonts w:ascii="Lato" w:eastAsiaTheme="minorHAnsi" w:hAnsi="Lato" w:cstheme="minorHAns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0A2AFF"/>
    <w:multiLevelType w:val="hybridMultilevel"/>
    <w:tmpl w:val="5D72613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021F6"/>
    <w:multiLevelType w:val="hybridMultilevel"/>
    <w:tmpl w:val="4454D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25298C"/>
    <w:multiLevelType w:val="hybridMultilevel"/>
    <w:tmpl w:val="3F06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702B5"/>
    <w:multiLevelType w:val="hybridMultilevel"/>
    <w:tmpl w:val="2CA4D46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7" w15:restartNumberingAfterBreak="0">
    <w:nsid w:val="161311E5"/>
    <w:multiLevelType w:val="hybridMultilevel"/>
    <w:tmpl w:val="7BE2F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AB517C"/>
    <w:multiLevelType w:val="hybridMultilevel"/>
    <w:tmpl w:val="B584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542489"/>
    <w:multiLevelType w:val="hybridMultilevel"/>
    <w:tmpl w:val="B5482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A0887"/>
    <w:multiLevelType w:val="hybridMultilevel"/>
    <w:tmpl w:val="844004A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41202268"/>
    <w:multiLevelType w:val="hybridMultilevel"/>
    <w:tmpl w:val="7244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5A3585"/>
    <w:multiLevelType w:val="hybridMultilevel"/>
    <w:tmpl w:val="E4563E1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52F82941"/>
    <w:multiLevelType w:val="hybridMultilevel"/>
    <w:tmpl w:val="6AC6C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A64B62"/>
    <w:multiLevelType w:val="hybridMultilevel"/>
    <w:tmpl w:val="8230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5F0665"/>
    <w:multiLevelType w:val="hybridMultilevel"/>
    <w:tmpl w:val="7CC62304"/>
    <w:lvl w:ilvl="0" w:tplc="57A4B24C">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EC0F1E"/>
    <w:multiLevelType w:val="hybridMultilevel"/>
    <w:tmpl w:val="48903D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763E7B97"/>
    <w:multiLevelType w:val="hybridMultilevel"/>
    <w:tmpl w:val="64D4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9"/>
  </w:num>
  <w:num w:numId="5">
    <w:abstractNumId w:val="2"/>
  </w:num>
  <w:num w:numId="6">
    <w:abstractNumId w:val="16"/>
  </w:num>
  <w:num w:numId="7">
    <w:abstractNumId w:val="15"/>
  </w:num>
  <w:num w:numId="8">
    <w:abstractNumId w:val="7"/>
  </w:num>
  <w:num w:numId="9">
    <w:abstractNumId w:val="10"/>
  </w:num>
  <w:num w:numId="10">
    <w:abstractNumId w:val="13"/>
  </w:num>
  <w:num w:numId="11">
    <w:abstractNumId w:val="5"/>
  </w:num>
  <w:num w:numId="12">
    <w:abstractNumId w:val="8"/>
  </w:num>
  <w:num w:numId="13">
    <w:abstractNumId w:val="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11"/>
  </w:num>
  <w:num w:numId="18">
    <w:abstractNumId w:val="6"/>
  </w:num>
  <w:num w:numId="19">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10"/>
    <w:rsid w:val="00044812"/>
    <w:rsid w:val="000468E3"/>
    <w:rsid w:val="0005601D"/>
    <w:rsid w:val="0006488B"/>
    <w:rsid w:val="00066C65"/>
    <w:rsid w:val="00096866"/>
    <w:rsid w:val="000E18B9"/>
    <w:rsid w:val="000E682F"/>
    <w:rsid w:val="000F2231"/>
    <w:rsid w:val="000F5787"/>
    <w:rsid w:val="000F5DA8"/>
    <w:rsid w:val="0010621D"/>
    <w:rsid w:val="00114F4C"/>
    <w:rsid w:val="00142817"/>
    <w:rsid w:val="00150B05"/>
    <w:rsid w:val="00151194"/>
    <w:rsid w:val="00184747"/>
    <w:rsid w:val="00191502"/>
    <w:rsid w:val="00194174"/>
    <w:rsid w:val="001A1354"/>
    <w:rsid w:val="001E74BB"/>
    <w:rsid w:val="00205490"/>
    <w:rsid w:val="002128CF"/>
    <w:rsid w:val="002221F2"/>
    <w:rsid w:val="00246559"/>
    <w:rsid w:val="002502BE"/>
    <w:rsid w:val="00260C0A"/>
    <w:rsid w:val="00265D59"/>
    <w:rsid w:val="00272397"/>
    <w:rsid w:val="00283E9A"/>
    <w:rsid w:val="002A7DCF"/>
    <w:rsid w:val="002C3E78"/>
    <w:rsid w:val="002D595D"/>
    <w:rsid w:val="002F11F5"/>
    <w:rsid w:val="003048C5"/>
    <w:rsid w:val="00305B4A"/>
    <w:rsid w:val="0031010B"/>
    <w:rsid w:val="00320A4C"/>
    <w:rsid w:val="00323078"/>
    <w:rsid w:val="00335C85"/>
    <w:rsid w:val="003369AA"/>
    <w:rsid w:val="003713B4"/>
    <w:rsid w:val="00384C1B"/>
    <w:rsid w:val="003A2610"/>
    <w:rsid w:val="003A46DC"/>
    <w:rsid w:val="003E25CA"/>
    <w:rsid w:val="003E717F"/>
    <w:rsid w:val="004173CE"/>
    <w:rsid w:val="00454C75"/>
    <w:rsid w:val="004A0286"/>
    <w:rsid w:val="004D1D87"/>
    <w:rsid w:val="004E7D1A"/>
    <w:rsid w:val="004F5A02"/>
    <w:rsid w:val="00506B8E"/>
    <w:rsid w:val="00512B2C"/>
    <w:rsid w:val="00522691"/>
    <w:rsid w:val="00533E19"/>
    <w:rsid w:val="0054222C"/>
    <w:rsid w:val="00547174"/>
    <w:rsid w:val="00551CA0"/>
    <w:rsid w:val="00586A4F"/>
    <w:rsid w:val="005B2E27"/>
    <w:rsid w:val="005D3D54"/>
    <w:rsid w:val="005D4E56"/>
    <w:rsid w:val="006104B1"/>
    <w:rsid w:val="00624925"/>
    <w:rsid w:val="006805DF"/>
    <w:rsid w:val="00691298"/>
    <w:rsid w:val="006E0B29"/>
    <w:rsid w:val="006F21B3"/>
    <w:rsid w:val="00732599"/>
    <w:rsid w:val="00733F4B"/>
    <w:rsid w:val="007608D5"/>
    <w:rsid w:val="00766135"/>
    <w:rsid w:val="00772AD6"/>
    <w:rsid w:val="00774F87"/>
    <w:rsid w:val="007A5981"/>
    <w:rsid w:val="007B3CEE"/>
    <w:rsid w:val="007C0D0B"/>
    <w:rsid w:val="007D5025"/>
    <w:rsid w:val="007D73F3"/>
    <w:rsid w:val="007D7F53"/>
    <w:rsid w:val="007E24F0"/>
    <w:rsid w:val="007E4387"/>
    <w:rsid w:val="00815782"/>
    <w:rsid w:val="0083756F"/>
    <w:rsid w:val="0085282F"/>
    <w:rsid w:val="008609C9"/>
    <w:rsid w:val="008712F0"/>
    <w:rsid w:val="00884DBF"/>
    <w:rsid w:val="00886FDC"/>
    <w:rsid w:val="008935E5"/>
    <w:rsid w:val="0091042D"/>
    <w:rsid w:val="00916279"/>
    <w:rsid w:val="0091678F"/>
    <w:rsid w:val="00917AB1"/>
    <w:rsid w:val="00937732"/>
    <w:rsid w:val="009403FB"/>
    <w:rsid w:val="009430F4"/>
    <w:rsid w:val="00980978"/>
    <w:rsid w:val="009A2CEA"/>
    <w:rsid w:val="009C338B"/>
    <w:rsid w:val="009C610A"/>
    <w:rsid w:val="009C6753"/>
    <w:rsid w:val="009C7D8E"/>
    <w:rsid w:val="009D4EA4"/>
    <w:rsid w:val="009E7D3D"/>
    <w:rsid w:val="009F5AE1"/>
    <w:rsid w:val="00A1076B"/>
    <w:rsid w:val="00A169E5"/>
    <w:rsid w:val="00A707B9"/>
    <w:rsid w:val="00A719C8"/>
    <w:rsid w:val="00A75F2D"/>
    <w:rsid w:val="00A90765"/>
    <w:rsid w:val="00A950B9"/>
    <w:rsid w:val="00AC6D34"/>
    <w:rsid w:val="00AD1FB5"/>
    <w:rsid w:val="00AF000D"/>
    <w:rsid w:val="00AF339F"/>
    <w:rsid w:val="00B2297E"/>
    <w:rsid w:val="00B503F2"/>
    <w:rsid w:val="00B63296"/>
    <w:rsid w:val="00B643EF"/>
    <w:rsid w:val="00B65341"/>
    <w:rsid w:val="00B97F22"/>
    <w:rsid w:val="00BF7B3F"/>
    <w:rsid w:val="00C36BB9"/>
    <w:rsid w:val="00C41A0D"/>
    <w:rsid w:val="00C44087"/>
    <w:rsid w:val="00C44144"/>
    <w:rsid w:val="00C45798"/>
    <w:rsid w:val="00C50E56"/>
    <w:rsid w:val="00C651B0"/>
    <w:rsid w:val="00C72CA7"/>
    <w:rsid w:val="00CA3640"/>
    <w:rsid w:val="00CA4D6B"/>
    <w:rsid w:val="00CB0345"/>
    <w:rsid w:val="00CB3E31"/>
    <w:rsid w:val="00CC40CD"/>
    <w:rsid w:val="00CC65F8"/>
    <w:rsid w:val="00CD4BA5"/>
    <w:rsid w:val="00CF4781"/>
    <w:rsid w:val="00D3570B"/>
    <w:rsid w:val="00D3653A"/>
    <w:rsid w:val="00D3780E"/>
    <w:rsid w:val="00D60BE5"/>
    <w:rsid w:val="00D764E2"/>
    <w:rsid w:val="00DB0A42"/>
    <w:rsid w:val="00DB234A"/>
    <w:rsid w:val="00DC3479"/>
    <w:rsid w:val="00DF7E80"/>
    <w:rsid w:val="00E03147"/>
    <w:rsid w:val="00E12562"/>
    <w:rsid w:val="00E15BB1"/>
    <w:rsid w:val="00E2298E"/>
    <w:rsid w:val="00E2592A"/>
    <w:rsid w:val="00E27006"/>
    <w:rsid w:val="00E32A0B"/>
    <w:rsid w:val="00E32E89"/>
    <w:rsid w:val="00E35A40"/>
    <w:rsid w:val="00E551D2"/>
    <w:rsid w:val="00E63F12"/>
    <w:rsid w:val="00E6408D"/>
    <w:rsid w:val="00E743AC"/>
    <w:rsid w:val="00E745D2"/>
    <w:rsid w:val="00E9265D"/>
    <w:rsid w:val="00EC00D0"/>
    <w:rsid w:val="00EC68EB"/>
    <w:rsid w:val="00EE25FF"/>
    <w:rsid w:val="00EF2917"/>
    <w:rsid w:val="00F001DC"/>
    <w:rsid w:val="00F05105"/>
    <w:rsid w:val="00F074ED"/>
    <w:rsid w:val="00F0780D"/>
    <w:rsid w:val="00F20264"/>
    <w:rsid w:val="00F52EC0"/>
    <w:rsid w:val="00F77322"/>
    <w:rsid w:val="00F80751"/>
    <w:rsid w:val="00F90063"/>
    <w:rsid w:val="00F97F04"/>
    <w:rsid w:val="00FA19EF"/>
    <w:rsid w:val="00FD16B7"/>
    <w:rsid w:val="00FE6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FDCD"/>
  <w15:chartTrackingRefBased/>
  <w15:docId w15:val="{C2CE1594-9550-4297-996C-1644CA04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610"/>
  </w:style>
  <w:style w:type="paragraph" w:styleId="Footer">
    <w:name w:val="footer"/>
    <w:basedOn w:val="Normal"/>
    <w:link w:val="FooterChar"/>
    <w:uiPriority w:val="99"/>
    <w:unhideWhenUsed/>
    <w:rsid w:val="003A2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610"/>
  </w:style>
  <w:style w:type="character" w:styleId="Hyperlink">
    <w:name w:val="Hyperlink"/>
    <w:basedOn w:val="DefaultParagraphFont"/>
    <w:uiPriority w:val="99"/>
    <w:unhideWhenUsed/>
    <w:rsid w:val="00FD16B7"/>
    <w:rPr>
      <w:color w:val="0000FF"/>
      <w:u w:val="single"/>
    </w:rPr>
  </w:style>
  <w:style w:type="paragraph" w:customStyle="1" w:styleId="BodyA">
    <w:name w:val="Body A"/>
    <w:rsid w:val="00FD16B7"/>
    <w:pPr>
      <w:spacing w:after="200" w:line="276" w:lineRule="auto"/>
    </w:pPr>
    <w:rPr>
      <w:rFonts w:ascii="Calibri" w:eastAsia="Calibri" w:hAnsi="Calibri" w:cs="Calibri"/>
      <w:color w:val="000000"/>
      <w:u w:color="000000"/>
      <w:lang w:val="en-US" w:eastAsia="en-GB"/>
    </w:rPr>
  </w:style>
  <w:style w:type="character" w:customStyle="1" w:styleId="None">
    <w:name w:val="None"/>
    <w:rsid w:val="00FD16B7"/>
  </w:style>
  <w:style w:type="character" w:styleId="UnresolvedMention">
    <w:name w:val="Unresolved Mention"/>
    <w:basedOn w:val="DefaultParagraphFont"/>
    <w:uiPriority w:val="99"/>
    <w:semiHidden/>
    <w:unhideWhenUsed/>
    <w:rsid w:val="00FD16B7"/>
    <w:rPr>
      <w:color w:val="605E5C"/>
      <w:shd w:val="clear" w:color="auto" w:fill="E1DFDD"/>
    </w:rPr>
  </w:style>
  <w:style w:type="paragraph" w:styleId="BalloonText">
    <w:name w:val="Balloon Text"/>
    <w:basedOn w:val="Normal"/>
    <w:link w:val="BalloonTextChar"/>
    <w:uiPriority w:val="99"/>
    <w:semiHidden/>
    <w:unhideWhenUsed/>
    <w:rsid w:val="004D1D8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D87"/>
    <w:rPr>
      <w:rFonts w:ascii="Times New Roman" w:hAnsi="Times New Roman" w:cs="Times New Roman"/>
      <w:sz w:val="18"/>
      <w:szCs w:val="18"/>
    </w:rPr>
  </w:style>
  <w:style w:type="paragraph" w:styleId="ListParagraph">
    <w:name w:val="List Paragraph"/>
    <w:basedOn w:val="Normal"/>
    <w:uiPriority w:val="34"/>
    <w:qFormat/>
    <w:rsid w:val="004D1D87"/>
    <w:pPr>
      <w:ind w:left="720"/>
      <w:contextualSpacing/>
    </w:pPr>
  </w:style>
  <w:style w:type="paragraph" w:styleId="FootnoteText">
    <w:name w:val="footnote text"/>
    <w:basedOn w:val="Normal"/>
    <w:link w:val="FootnoteTextChar"/>
    <w:uiPriority w:val="99"/>
    <w:semiHidden/>
    <w:unhideWhenUsed/>
    <w:rsid w:val="005B2E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E27"/>
    <w:rPr>
      <w:sz w:val="20"/>
      <w:szCs w:val="20"/>
    </w:rPr>
  </w:style>
  <w:style w:type="character" w:styleId="FootnoteReference">
    <w:name w:val="footnote reference"/>
    <w:basedOn w:val="DefaultParagraphFont"/>
    <w:uiPriority w:val="99"/>
    <w:semiHidden/>
    <w:unhideWhenUsed/>
    <w:rsid w:val="005B2E27"/>
    <w:rPr>
      <w:vertAlign w:val="superscript"/>
    </w:rPr>
  </w:style>
  <w:style w:type="paragraph" w:styleId="NormalWeb">
    <w:name w:val="Normal (Web)"/>
    <w:basedOn w:val="Normal"/>
    <w:uiPriority w:val="99"/>
    <w:semiHidden/>
    <w:unhideWhenUsed/>
    <w:rsid w:val="009C7D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72CA7"/>
    <w:pPr>
      <w:autoSpaceDE w:val="0"/>
      <w:autoSpaceDN w:val="0"/>
      <w:adjustRightInd w:val="0"/>
      <w:spacing w:after="0" w:line="240" w:lineRule="auto"/>
    </w:pPr>
    <w:rPr>
      <w:rFonts w:ascii="Calibri" w:hAnsi="Calibri" w:cs="Calibri"/>
      <w:color w:val="000000"/>
      <w:sz w:val="24"/>
      <w:szCs w:val="24"/>
    </w:rPr>
  </w:style>
  <w:style w:type="paragraph" w:customStyle="1" w:styleId="legclearfix">
    <w:name w:val="legclearfix"/>
    <w:basedOn w:val="Normal"/>
    <w:rsid w:val="00FE6B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ddition">
    <w:name w:val="legaddition"/>
    <w:basedOn w:val="DefaultParagraphFont"/>
    <w:rsid w:val="00FE6B1D"/>
  </w:style>
  <w:style w:type="character" w:styleId="CommentReference">
    <w:name w:val="annotation reference"/>
    <w:basedOn w:val="DefaultParagraphFont"/>
    <w:uiPriority w:val="99"/>
    <w:semiHidden/>
    <w:unhideWhenUsed/>
    <w:rsid w:val="00815782"/>
    <w:rPr>
      <w:sz w:val="16"/>
      <w:szCs w:val="16"/>
    </w:rPr>
  </w:style>
  <w:style w:type="paragraph" w:styleId="CommentText">
    <w:name w:val="annotation text"/>
    <w:basedOn w:val="Normal"/>
    <w:link w:val="CommentTextChar"/>
    <w:uiPriority w:val="99"/>
    <w:semiHidden/>
    <w:unhideWhenUsed/>
    <w:rsid w:val="00815782"/>
    <w:pPr>
      <w:spacing w:line="240" w:lineRule="auto"/>
    </w:pPr>
    <w:rPr>
      <w:sz w:val="20"/>
      <w:szCs w:val="20"/>
    </w:rPr>
  </w:style>
  <w:style w:type="character" w:customStyle="1" w:styleId="CommentTextChar">
    <w:name w:val="Comment Text Char"/>
    <w:basedOn w:val="DefaultParagraphFont"/>
    <w:link w:val="CommentText"/>
    <w:uiPriority w:val="99"/>
    <w:semiHidden/>
    <w:rsid w:val="00815782"/>
    <w:rPr>
      <w:sz w:val="20"/>
      <w:szCs w:val="20"/>
    </w:rPr>
  </w:style>
  <w:style w:type="paragraph" w:styleId="CommentSubject">
    <w:name w:val="annotation subject"/>
    <w:basedOn w:val="CommentText"/>
    <w:next w:val="CommentText"/>
    <w:link w:val="CommentSubjectChar"/>
    <w:uiPriority w:val="99"/>
    <w:semiHidden/>
    <w:unhideWhenUsed/>
    <w:rsid w:val="00815782"/>
    <w:rPr>
      <w:b/>
      <w:bCs/>
    </w:rPr>
  </w:style>
  <w:style w:type="character" w:customStyle="1" w:styleId="CommentSubjectChar">
    <w:name w:val="Comment Subject Char"/>
    <w:basedOn w:val="CommentTextChar"/>
    <w:link w:val="CommentSubject"/>
    <w:uiPriority w:val="99"/>
    <w:semiHidden/>
    <w:rsid w:val="00815782"/>
    <w:rPr>
      <w:b/>
      <w:bCs/>
      <w:sz w:val="20"/>
      <w:szCs w:val="20"/>
    </w:rPr>
  </w:style>
  <w:style w:type="paragraph" w:customStyle="1" w:styleId="gmail-p1">
    <w:name w:val="gmail-p1"/>
    <w:basedOn w:val="Normal"/>
    <w:rsid w:val="00142817"/>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7205">
      <w:bodyDiv w:val="1"/>
      <w:marLeft w:val="0"/>
      <w:marRight w:val="0"/>
      <w:marTop w:val="0"/>
      <w:marBottom w:val="0"/>
      <w:divBdr>
        <w:top w:val="none" w:sz="0" w:space="0" w:color="auto"/>
        <w:left w:val="none" w:sz="0" w:space="0" w:color="auto"/>
        <w:bottom w:val="none" w:sz="0" w:space="0" w:color="auto"/>
        <w:right w:val="none" w:sz="0" w:space="0" w:color="auto"/>
      </w:divBdr>
    </w:div>
    <w:div w:id="556860233">
      <w:bodyDiv w:val="1"/>
      <w:marLeft w:val="0"/>
      <w:marRight w:val="0"/>
      <w:marTop w:val="0"/>
      <w:marBottom w:val="0"/>
      <w:divBdr>
        <w:top w:val="none" w:sz="0" w:space="0" w:color="auto"/>
        <w:left w:val="none" w:sz="0" w:space="0" w:color="auto"/>
        <w:bottom w:val="none" w:sz="0" w:space="0" w:color="auto"/>
        <w:right w:val="none" w:sz="0" w:space="0" w:color="auto"/>
      </w:divBdr>
    </w:div>
    <w:div w:id="620769434">
      <w:bodyDiv w:val="1"/>
      <w:marLeft w:val="0"/>
      <w:marRight w:val="0"/>
      <w:marTop w:val="0"/>
      <w:marBottom w:val="0"/>
      <w:divBdr>
        <w:top w:val="none" w:sz="0" w:space="0" w:color="auto"/>
        <w:left w:val="none" w:sz="0" w:space="0" w:color="auto"/>
        <w:bottom w:val="none" w:sz="0" w:space="0" w:color="auto"/>
        <w:right w:val="none" w:sz="0" w:space="0" w:color="auto"/>
      </w:divBdr>
    </w:div>
    <w:div w:id="639113459">
      <w:bodyDiv w:val="1"/>
      <w:marLeft w:val="0"/>
      <w:marRight w:val="0"/>
      <w:marTop w:val="0"/>
      <w:marBottom w:val="0"/>
      <w:divBdr>
        <w:top w:val="none" w:sz="0" w:space="0" w:color="auto"/>
        <w:left w:val="none" w:sz="0" w:space="0" w:color="auto"/>
        <w:bottom w:val="none" w:sz="0" w:space="0" w:color="auto"/>
        <w:right w:val="none" w:sz="0" w:space="0" w:color="auto"/>
      </w:divBdr>
    </w:div>
    <w:div w:id="697973666">
      <w:bodyDiv w:val="1"/>
      <w:marLeft w:val="0"/>
      <w:marRight w:val="0"/>
      <w:marTop w:val="0"/>
      <w:marBottom w:val="0"/>
      <w:divBdr>
        <w:top w:val="none" w:sz="0" w:space="0" w:color="auto"/>
        <w:left w:val="none" w:sz="0" w:space="0" w:color="auto"/>
        <w:bottom w:val="none" w:sz="0" w:space="0" w:color="auto"/>
        <w:right w:val="none" w:sz="0" w:space="0" w:color="auto"/>
      </w:divBdr>
    </w:div>
    <w:div w:id="701825587">
      <w:bodyDiv w:val="1"/>
      <w:marLeft w:val="0"/>
      <w:marRight w:val="0"/>
      <w:marTop w:val="0"/>
      <w:marBottom w:val="0"/>
      <w:divBdr>
        <w:top w:val="none" w:sz="0" w:space="0" w:color="auto"/>
        <w:left w:val="none" w:sz="0" w:space="0" w:color="auto"/>
        <w:bottom w:val="none" w:sz="0" w:space="0" w:color="auto"/>
        <w:right w:val="none" w:sz="0" w:space="0" w:color="auto"/>
      </w:divBdr>
    </w:div>
    <w:div w:id="734545763">
      <w:bodyDiv w:val="1"/>
      <w:marLeft w:val="0"/>
      <w:marRight w:val="0"/>
      <w:marTop w:val="0"/>
      <w:marBottom w:val="0"/>
      <w:divBdr>
        <w:top w:val="none" w:sz="0" w:space="0" w:color="auto"/>
        <w:left w:val="none" w:sz="0" w:space="0" w:color="auto"/>
        <w:bottom w:val="none" w:sz="0" w:space="0" w:color="auto"/>
        <w:right w:val="none" w:sz="0" w:space="0" w:color="auto"/>
      </w:divBdr>
    </w:div>
    <w:div w:id="743838509">
      <w:bodyDiv w:val="1"/>
      <w:marLeft w:val="0"/>
      <w:marRight w:val="0"/>
      <w:marTop w:val="0"/>
      <w:marBottom w:val="0"/>
      <w:divBdr>
        <w:top w:val="none" w:sz="0" w:space="0" w:color="auto"/>
        <w:left w:val="none" w:sz="0" w:space="0" w:color="auto"/>
        <w:bottom w:val="none" w:sz="0" w:space="0" w:color="auto"/>
        <w:right w:val="none" w:sz="0" w:space="0" w:color="auto"/>
      </w:divBdr>
    </w:div>
    <w:div w:id="817961088">
      <w:bodyDiv w:val="1"/>
      <w:marLeft w:val="0"/>
      <w:marRight w:val="0"/>
      <w:marTop w:val="0"/>
      <w:marBottom w:val="0"/>
      <w:divBdr>
        <w:top w:val="none" w:sz="0" w:space="0" w:color="auto"/>
        <w:left w:val="none" w:sz="0" w:space="0" w:color="auto"/>
        <w:bottom w:val="none" w:sz="0" w:space="0" w:color="auto"/>
        <w:right w:val="none" w:sz="0" w:space="0" w:color="auto"/>
      </w:divBdr>
    </w:div>
    <w:div w:id="850488049">
      <w:bodyDiv w:val="1"/>
      <w:marLeft w:val="0"/>
      <w:marRight w:val="0"/>
      <w:marTop w:val="0"/>
      <w:marBottom w:val="0"/>
      <w:divBdr>
        <w:top w:val="none" w:sz="0" w:space="0" w:color="auto"/>
        <w:left w:val="none" w:sz="0" w:space="0" w:color="auto"/>
        <w:bottom w:val="none" w:sz="0" w:space="0" w:color="auto"/>
        <w:right w:val="none" w:sz="0" w:space="0" w:color="auto"/>
      </w:divBdr>
    </w:div>
    <w:div w:id="871041166">
      <w:bodyDiv w:val="1"/>
      <w:marLeft w:val="0"/>
      <w:marRight w:val="0"/>
      <w:marTop w:val="0"/>
      <w:marBottom w:val="0"/>
      <w:divBdr>
        <w:top w:val="none" w:sz="0" w:space="0" w:color="auto"/>
        <w:left w:val="none" w:sz="0" w:space="0" w:color="auto"/>
        <w:bottom w:val="none" w:sz="0" w:space="0" w:color="auto"/>
        <w:right w:val="none" w:sz="0" w:space="0" w:color="auto"/>
      </w:divBdr>
    </w:div>
    <w:div w:id="890850428">
      <w:bodyDiv w:val="1"/>
      <w:marLeft w:val="0"/>
      <w:marRight w:val="0"/>
      <w:marTop w:val="0"/>
      <w:marBottom w:val="0"/>
      <w:divBdr>
        <w:top w:val="none" w:sz="0" w:space="0" w:color="auto"/>
        <w:left w:val="none" w:sz="0" w:space="0" w:color="auto"/>
        <w:bottom w:val="none" w:sz="0" w:space="0" w:color="auto"/>
        <w:right w:val="none" w:sz="0" w:space="0" w:color="auto"/>
      </w:divBdr>
    </w:div>
    <w:div w:id="952245699">
      <w:bodyDiv w:val="1"/>
      <w:marLeft w:val="0"/>
      <w:marRight w:val="0"/>
      <w:marTop w:val="0"/>
      <w:marBottom w:val="0"/>
      <w:divBdr>
        <w:top w:val="none" w:sz="0" w:space="0" w:color="auto"/>
        <w:left w:val="none" w:sz="0" w:space="0" w:color="auto"/>
        <w:bottom w:val="none" w:sz="0" w:space="0" w:color="auto"/>
        <w:right w:val="none" w:sz="0" w:space="0" w:color="auto"/>
      </w:divBdr>
    </w:div>
    <w:div w:id="1176192233">
      <w:bodyDiv w:val="1"/>
      <w:marLeft w:val="0"/>
      <w:marRight w:val="0"/>
      <w:marTop w:val="0"/>
      <w:marBottom w:val="0"/>
      <w:divBdr>
        <w:top w:val="none" w:sz="0" w:space="0" w:color="auto"/>
        <w:left w:val="none" w:sz="0" w:space="0" w:color="auto"/>
        <w:bottom w:val="none" w:sz="0" w:space="0" w:color="auto"/>
        <w:right w:val="none" w:sz="0" w:space="0" w:color="auto"/>
      </w:divBdr>
    </w:div>
    <w:div w:id="1237010997">
      <w:bodyDiv w:val="1"/>
      <w:marLeft w:val="0"/>
      <w:marRight w:val="0"/>
      <w:marTop w:val="0"/>
      <w:marBottom w:val="0"/>
      <w:divBdr>
        <w:top w:val="none" w:sz="0" w:space="0" w:color="auto"/>
        <w:left w:val="none" w:sz="0" w:space="0" w:color="auto"/>
        <w:bottom w:val="none" w:sz="0" w:space="0" w:color="auto"/>
        <w:right w:val="none" w:sz="0" w:space="0" w:color="auto"/>
      </w:divBdr>
    </w:div>
    <w:div w:id="1358701690">
      <w:bodyDiv w:val="1"/>
      <w:marLeft w:val="0"/>
      <w:marRight w:val="0"/>
      <w:marTop w:val="0"/>
      <w:marBottom w:val="0"/>
      <w:divBdr>
        <w:top w:val="none" w:sz="0" w:space="0" w:color="auto"/>
        <w:left w:val="none" w:sz="0" w:space="0" w:color="auto"/>
        <w:bottom w:val="none" w:sz="0" w:space="0" w:color="auto"/>
        <w:right w:val="none" w:sz="0" w:space="0" w:color="auto"/>
      </w:divBdr>
    </w:div>
    <w:div w:id="1385593366">
      <w:bodyDiv w:val="1"/>
      <w:marLeft w:val="0"/>
      <w:marRight w:val="0"/>
      <w:marTop w:val="0"/>
      <w:marBottom w:val="0"/>
      <w:divBdr>
        <w:top w:val="none" w:sz="0" w:space="0" w:color="auto"/>
        <w:left w:val="none" w:sz="0" w:space="0" w:color="auto"/>
        <w:bottom w:val="none" w:sz="0" w:space="0" w:color="auto"/>
        <w:right w:val="none" w:sz="0" w:space="0" w:color="auto"/>
      </w:divBdr>
    </w:div>
    <w:div w:id="1738630473">
      <w:bodyDiv w:val="1"/>
      <w:marLeft w:val="0"/>
      <w:marRight w:val="0"/>
      <w:marTop w:val="0"/>
      <w:marBottom w:val="0"/>
      <w:divBdr>
        <w:top w:val="none" w:sz="0" w:space="0" w:color="auto"/>
        <w:left w:val="none" w:sz="0" w:space="0" w:color="auto"/>
        <w:bottom w:val="none" w:sz="0" w:space="0" w:color="auto"/>
        <w:right w:val="none" w:sz="0" w:space="0" w:color="auto"/>
      </w:divBdr>
    </w:div>
    <w:div w:id="20516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businessvisitsandeventspartnership.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nglishuk.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mailto:lauren.broughton@ukinbound.org"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cpt-uk.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ukinbound.org/"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tourismalliance.com/index.cfm" TargetMode="External"/><Relationship Id="rId10" Type="http://schemas.openxmlformats.org/officeDocument/2006/relationships/endnotes" Target="endnotes.xml"/><Relationship Id="rId19" Type="http://schemas.openxmlformats.org/officeDocument/2006/relationships/hyperlink" Target="https://coachtourismassociation.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etoa.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12" ma:contentTypeDescription="Create a new document." ma:contentTypeScope="" ma:versionID="8d2e33b940c47c58d3d84d191f31a80b">
  <xsd:schema xmlns:xsd="http://www.w3.org/2001/XMLSchema" xmlns:xs="http://www.w3.org/2001/XMLSchema" xmlns:p="http://schemas.microsoft.com/office/2006/metadata/properties" xmlns:ns2="d648bc01-36cd-414b-a80e-0249a7b8178c" xmlns:ns3="dd9d9367-f2b9-4bbb-8ef2-49d7bf367d48" targetNamespace="http://schemas.microsoft.com/office/2006/metadata/properties" ma:root="true" ma:fieldsID="aa60a8bb6f5faaee612011b138ae7112" ns2:_="" ns3:_="">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A2244-0867-4CCA-BA66-9655CF590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7662D5-DD8E-47E2-A90C-BA6CD8AB26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205BCF-851C-4A40-B18C-144AE5C4B4D0}">
  <ds:schemaRefs>
    <ds:schemaRef ds:uri="http://schemas.openxmlformats.org/officeDocument/2006/bibliography"/>
  </ds:schemaRefs>
</ds:datastoreItem>
</file>

<file path=customXml/itemProps4.xml><?xml version="1.0" encoding="utf-8"?>
<ds:datastoreItem xmlns:ds="http://schemas.openxmlformats.org/officeDocument/2006/customXml" ds:itemID="{945B7776-5260-4C59-A9E4-3DF9663A1B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Broughton</dc:creator>
  <cp:keywords/>
  <dc:description/>
  <cp:lastModifiedBy>Kurt Janson</cp:lastModifiedBy>
  <cp:revision>2</cp:revision>
  <dcterms:created xsi:type="dcterms:W3CDTF">2021-01-21T17:33:00Z</dcterms:created>
  <dcterms:modified xsi:type="dcterms:W3CDTF">2021-01-21T17:33:00Z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ies>
</file>